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jdkbuild Java 11.0.13 on Linux -->
    <w:p>
      <w:pPr>
        <w:pStyle w:val="TitleStyle"/>
      </w:pPr>
      <w:r>
        <w:t>Informowanie o cenach towarów i usług.</w:t>
      </w:r>
    </w:p>
    <w:p>
      <w:pPr>
        <w:pStyle w:val="NormalStyle"/>
      </w:pPr>
      <w:r>
        <w:t>Dz.U.2019.178 t.j. z dnia 2019.01.30</w:t>
      </w:r>
    </w:p>
    <w:p>
      <w:pPr>
        <w:pStyle w:val="NormalStyle"/>
      </w:pPr>
      <w:r>
        <w:t>Status: Akt obowiązujący </w:t>
      </w:r>
    </w:p>
    <w:p>
      <w:pPr>
        <w:pStyle w:val="NormalStyle"/>
      </w:pPr>
      <w:r>
        <w:t>Wersja od: 1 stycznia 2023r.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25 lipca 2014 r.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6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USTAWA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 dnia 9 maja 2014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o informowaniu o cenach towarów i usług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[Przedmiot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Ustawa określa sposób informowania o cenach oferowanych towarów i usług oraz skutki nieprzestrzegania jej uregulowań.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[Wyłączenie stosowania przepisów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Przepisów ustawy nie stosuje się do informowania o cenach w obrocie między osobami fizycznymi, z których żadna nie jest przedsiębiorcą, a także do informowania o cenach uregulowanego na podstawie odrębnych ustaw.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[Definicje; uwzględnianie podatku w cenie]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Użyte w ustawie określenia oznaczają: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cena - wartość wyrażoną w jednostkach pieniężnych, którą kupujący jest obowiązany zapłacić przedsiębiorcy za towar lub usługę;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cena jednostkowa towaru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(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lub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usługi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- cenę ustaloną za jednostkę określonego towaru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(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lub określonej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usługi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którego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których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ilość lub liczba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jest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są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wyrażona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wyrażone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jednostkach miar w rozumieniu przepisów o miarach;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przedsiębiorca - podmiot, o którym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lub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6 marca 2018 r. - Prawo przedsiębiorców (Dz. U. poz. 646, 1479, 1629, 1633 i 2212);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towar - rzecz, również energię oraz prawa majątkowe zbywalne;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usługa - czynność świadczoną odpłatnie, wymienioną w klasyfikacjach wydanych na podstawie przepisów o statystyce publicznej.</w:t>
      </w:r>
    </w:p>
    <w:p>
      <w:pPr>
        <w:spacing w:after="0"/>
        <w:ind w:left="0"/>
        <w:jc w:val="left"/>
        <w:textAlignment w:val="auto"/>
      </w:pP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cenie uwzględnia się podatek od towarów i usług oraz podatek akcyzowy, jeżeli na podstawie odrębnych przepisów sprzedaż towaru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(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lub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usługi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podlega obciążeniu podatkiem od towarów i usług lub podatkiem akcyzowym. Przez cenę rozumie się również stawkę taryfową.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4.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4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[Sposób uwidaczniania cen towarów i usług]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miejscu sprzedaży detalicznej i świadczenia usług uwidacznia się cenę oraz cenę jednostkową towaru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(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lub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usługi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sposób jednoznaczny, niebudzący wątpliwości oraz umożliwiający porównanie cen.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Minister właściwy do spraw gospodarki, po zasięgnięciu opinii Prezesa Urzędu Ochrony Konkurencji i Konsumentów, określi, w drodze rozporządzenia:</w:t>
      </w:r>
      <w:r>
        <w:br/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W każdym przypadku informowania o obniżeniu ceny towaru lub usługi obok informacji o obniżonej cenie uwidacznia się również informację o najniższej cenie tego towaru lub tej usługi, która obowiązywała w okresie 30 dni przed wprowadzeniem obniżki.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- mając na uwadze potrzebę zapewnienia dostępności informacji o cenie, a także uwzględniając przypadki, gdy uwidocznienie ceny jednostkowej towaru (usługi) nie byłoby przydatne ze względu na rodzaj lub przeznaczenie towaru (usługi).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sposób uwidaczniania cen towarów i usług, w tym cen jednostkowych towarów (usług),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wykaz towarów, w przypadku których nie jest wymagane uwidocznienie ceny jednostkowej towarów (usług)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3.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Jeżeli dany towar lub dana usługa są oferowane do sprzedaży w okresie krótszym niż 30 dni, obok informacji o obniżonej cenie uwidacznia się również informację o najniższej cenie tego towaru lub tej usługi, która obowiązywała w okresie od dnia rozpoczęcia oferowania tego towaru lub tej usługi do sprzedaży do dnia wprowadzenia obniżki.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4.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W przypadku towarów, które ulegają szybkiemu zepsuciu lub mają krótki termin przydatności, obok informacji o obniżonej cenie uwidacznia się informację o cenie sprzed pierwszego zastosowania obniżki, z zastrzeżeniem że terminy, o których mowa w ust. 2 i 3, nie mają zastosowania.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5.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Do reklamy towaru lub usługi wraz z ceną przepisy ust. 1-4 stosuje się odpowiednio.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6.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Minister właściwy do spraw gospodarki, po zasięgnięciu opinii Prezesa Urzędu Ochrony Konkurencji i Konsumentów, określi, w drodze rozporządzenia: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1)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sposób uwidaczniania cen towarów i usług, w tym cen jednostkowych towarów lub usług, oraz informacji o obniżonej cenie,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2)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wykaz towarów, w przypadku których nie jest wymagane uwidocznienie ceny jednostkowej towarów lub usług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569748"/>
          <w:sz w:val="24"/>
          <w:lang w:val="pl-PL"/>
        </w:rPr>
        <w:t>- mając na uwadze potrzebę zapewnienia dostępności informacji o cenie, a także uwzględniając przypadki, gdy uwidocznienie ceny jednostkowej towaru lub usługi nie byłoby przydatne ze względu na rodzaj lub przeznaczenie towaru lub usługi.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[Rozbieżności lub wątpliwości co do ceny]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rozbieżności lub wątpliwości co do ceny za oferowany towar lub usługę konsument ma prawo do żądania sprzedaży towaru lub usługi po cenie dla niego najkorzystniejszej.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6.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5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[Kara pieniężna]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przedsiębiorca nie wykonuje obowiązków, o których mowa w art. 4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ust. 1-5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, wojewódzki inspektor Inspekcji Handlowej nakłada na niego, w drodze decyzji, karę pieniężną do wysokości 20 000 zł.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przedsiębiorca nie wykonał obowiązków, o których mowa w art. 4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ust. 1-5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, co najmniej trzykrotnie w okresie 12 miesięcy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,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licząc od dnia, w którym stwierdzono naruszenie tych obowiązków po raz pierwszy, wojewódzki inspektor Inspekcji Handlowej nakłada na niego, w drodze decyzji, karę pieniężną do wysokości 40 000 zł.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strike/>
          <w:color w:val="e51c23"/>
          <w:sz w:val="24"/>
          <w:lang w:val="pl-PL"/>
        </w:rPr>
        <w:t>Przy ustalaniu wysokości kary pieniężnej uwzględnia się stopień naruszenia obowiązków oraz dotychczasową działalność przedsiębiorcy, a także wielkość jego obrotów i przychodu.</w:t>
      </w:r>
      <w:r>
        <w:br/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Przy ustalaniu wysokości kary pieniężnej wojewódzki inspektor Inspekcji Handlowej uwzględnia: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1)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stopień naruszenia obowiązków, o których mowa w art. 4 ust. 1-5, w tym charakter, wagę, skalę i czas trwania naruszenia tych obowiązków;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2)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3)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wielkość obrotów i przychodu przedsiębiorcy;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4)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>rozporządzeniem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Parlamentu Europejskiego i Rady (UE) 2017/2394 z dnia 12 grudnia 2017 r. w sprawie współpracy między organami krajowymi odpowiedzialnymi za egzekwowanie przepisów prawa w zakresie ochrony konsumentów i uchylającym rozporządzenie (WE) nr 2006/2004 (Dz. Urz. UE L 345 z 27.12.2017, str. 1, z późn. zm.).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7.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[Uiszczenie kary pieniężnej]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Przedsiębiorca uiszcza karę pieniężną na rachunek bankowy wojewódzkiego inspektoratu Inspekcji Handlowej, wskazany przez wojewódzkiego inspektora Inspekcji Handlowej, w terminie 7 dni od dnia, w którym decyzja o nałożeniu kary pieniężnej stała się ostateczna.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Nie wydaje się decyzji, jeżeli od dnia stwierdzenia niewykonania obowiązku, o którym mowa w art. 4</w:t>
      </w:r>
      <w:r>
        <w:rPr>
          <w:rFonts w:ascii="Times New Roman"/>
          <w:b w:val="false"/>
          <w:i w:val="false"/>
          <w:color w:val="569748"/>
          <w:sz w:val="24"/>
          <w:u w:val="single"/>
          <w:lang w:val="pl-PL"/>
        </w:rPr>
        <w:t xml:space="preserve"> ust. 1-5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, upłynęły 3 lata, licząc od końca roku, w którym stwierdzono naruszenie tego obowiązku.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Kary pieniężne stanowią dochód budżetu państwa.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8.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[Stosowanie przepisów ordynacji podatkowej do kar pieniężnych; egzekucja kar pieniężnych]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Do kar pieniężnych, w zakresie nieuregulowanym w ustawie, stosuje się odpowiednio przepisy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działu III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29 sierpnia 1997 r. - Ordynacja podatkowa (Dz. U. z 2018 r. poz. 800, z późn. zm.).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Kary pieniężne podlegają egzekucji w trybie przepisów o postępowaniu egzekucyjnym w administracji w zakresie egzekucji obowiązków o charakterze pieniężnym.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9.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20 maja 1971 r. - Kodeks wykroczeń (Dz. U. z 2013 r. poz. 482, z późn. zm.)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137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uchyla się § 1.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10.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26 lipca 1991 r. o podatku dochodowym od osób fizycznych (Dz. U. z 2012 r. poz. 361, z późn. zm.)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ust. 1 uchyla się pkt 25.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11.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28 września 1991 r. o kontroli skarbowej (Dz. U. z 2011 r. Nr 41, poz. 214, z późn. zm.)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ust. 1 uchyla się pkt 14a.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12.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15 lutego 1992 r. o podatku dochodowym od osób prawnych (Dz. U. z 2014 r. poz. 851)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ust. 1 uchyla się pkt 32.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13.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29 sierpnia 1997 r. - Ordynacja podatkowa (Dz. U. z 2012 r. poz. 749, z późn. zm.)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§ 4 otrzymuje brzmienie: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14.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4 września 1997 r. o działach administracji rządowej (Dz. U. z 2013 r. poz. 743, z późn. zm.)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8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ust. 2 uchyla się pkt 11.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15.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6 września 2001 r. o transporcie drogowym (Dz. U. z 2013 r. poz. 1414 oraz z 2014 r. poz. 486 i 805) po art. 11a dodaje się art. 11b i art. 11c w brzmieniu: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16.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18 kwietnia 2002 r. o stanie klęski żywiołowej (Dz. U. z 2014 r. poz. 333) wprowadza się następujące zmiany: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17.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21 czerwca 2002 r. o stanie wyjątkowym (Dz. U. Nr 113, poz. 985, z późn. zm.) wprowadza się następujące zmiany: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18.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29 sierpnia 2002 r. o stanie wojennym oraz o kompetencjach Naczelnego Dowódcy Sił Zbrojnych i zasadach jego podległości konstytucyjnym organom Rzeczypospolitej Polskiej (Dz. U. Nr 156, poz. 1301, z późn. zm.) wprowadza się następujące zmiany: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19.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29 stycznia 2004 r. - Prawo zamówień publicznych (Dz. U. z 2013 r. poz. 907, z późn. zm.)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pkt 1 otrzymuje brzmienie: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20.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10 lipca 2007 r. o nawozach i nawożeniu (Dz. U. Nr 147, poz. 1033, z późn. zm.)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37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uchyla się ust. 6.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21. 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16 grudnia 2010 r. o publicznym transporcie zbiorowym (Dz. U. z 2011 r. Nr 5, poz. 13 i Nr 228, poz. 1368 oraz z 2014 r. poz. 423) po art. 50 dodaje się art. 50a i art. 50b w brzmieniu: (zmiany pominięte).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22.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[Sprawy niezakończone do dnia wejścia w życie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Do spraw wszczętych i niezakończonych do dnia wejścia w życie ustawy mają zastosowanie przepisy dotychczasowe.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Nie wszczyna się postępowania, a wszczęte umarza, jeżeli od dnia stwierdzenia niewykonania obowiązków, o których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wymienionej w art. 26, upłynęło 5 lat licząc od dnia wejścia w życie niniejszej ustawy.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23.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[Naruszenia przepisów przed wejściem w życie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przypadku gdy przedsiębiorca przed dniem wejścia w życie ustawy naruszył przepisy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wymienionej w art. 26, stosuje się przepisy dotychczasowe.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2.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W przypadku gdy przedsiębiorca przed dniem wejścia w życie ustawy stosował ceny urzędowe lub marże handlowe urzędowe z naruszeniem przepisów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wymienionej w art. 26 i w ten sposób osiągnął kwotę nienależną, stosuje się przepisy dotychczasowe.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24.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[Utrzymanie w mocy przepisów prawa miejscowego o cenach urzędowych za usługi przewozowe w publicznym transporcie zbiorowym]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Przepisy prawa miejscowego wydane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8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wymienionej w art. 26 zachowują moc do dnia wejścia w życie przepisów wydanych odpowiednio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11b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wymienionej w art. 15 oraz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50a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wymienionej w art. 21.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25.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[Utrzymanie w mocy przepisów wykonawczych]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Dotychczasowe przepisy wykonawcze wydane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12 ust.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wymienionej w art. 26 zachowują moc do dnia wejścia w życie przepisów wykonawczych wydanych na podstawie art. 4 ust. 2, nie dłużej jednak niż do dnia 31 grudnia 2015 r.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26.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[Przepis derogacyjny]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Traci moc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ustawa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5 lipca 2001 r. o cenach (Dz. U. z 2013 r. poz. 385).</w:t>
      </w:r>
    </w:p>
    <w:p>
      <w:pPr>
        <w:spacing w:before="80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Art. 27.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[Wejście w życie ustawy]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Ustawa wchodzi w życie po upływie 14 dni od dnia ogłoszenia.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Niniejsza ustawa dokonuje w zakresie swojej regulacji wdrożenia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dyrektywy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98/6/WE Parlamentu Europejskiego i Rady z dnia 16 lutego 1998 r. w sprawie ochrony konsumenta przez podawanie cen produktów oferowanych konsumentom (Dz. Urz. WE L 80 z 04.07.1998).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Art. 3 ust. 1 pkt 2 zmieniony przez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6 pkt 1 lit. a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 grudnia 2022 r. (Dz.U.2022.2581) zmieniającej nin. ustawę z dniem 1 stycznia 2023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Art. 3 ust. 2 zmieniony przez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6 pkt 1 lit. b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 grudnia 2022 r. (Dz.U.2022.2581) zmieniającej nin. ustawę z dniem 1 stycznia 2023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Art. 4 zmieniony przez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6 pkt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 grudnia 2022 r. (Dz.U.2022.2581) zmieniającej nin. ustawę z dniem 1 stycznia 2023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Art. 6 zmieniony przez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6 pkt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 grudnia 2022 r. (Dz.U.2022.2581) zmieniającej nin. ustawę z dniem 1 stycznia 2023 r.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Art. 7 ust. 2 zmieniony przez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6 pkt 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1 grudnia 2022 r. (Dz.U.2022.2581) zmieniającej nin. ustawę z dniem 1 stycznia 2023 r.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