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8.0.0 (Apache licensed) using REFERENCE JAXB in ojdkbuild Java 11.0.13 on Linux -->
    <w:p>
      <w:pPr>
        <w:pStyle w:val="TitleStyle"/>
      </w:pPr>
      <w:r>
        <w:t>Przeciwdziałanie nieuczciwym praktykom rynkowym.</w:t>
      </w:r>
    </w:p>
    <w:p>
      <w:pPr>
        <w:pStyle w:val="NormalStyle"/>
      </w:pPr>
      <w:r>
        <w:t>Dz.U.2017.2070 t.j. z dnia 2017.11.09</w:t>
      </w:r>
    </w:p>
    <w:p>
      <w:pPr>
        <w:pStyle w:val="NormalStyle"/>
      </w:pPr>
      <w:r>
        <w:t>Status: Akt obowiązujący </w:t>
      </w:r>
    </w:p>
    <w:p>
      <w:pPr>
        <w:pStyle w:val="NormalStyle"/>
      </w:pPr>
      <w:r>
        <w:t>Wersja od: 1 stycznia 2023r.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150"/>
        <w:ind w:left="0"/>
        <w:jc w:val="left"/>
        <w:textAlignment w:val="auto"/>
      </w:pPr>
      <w:r>
        <w:rPr>
          <w:rFonts w:ascii="Times New Roman"/>
          <w:b w:val="false"/>
          <w:i w:val="false"/>
          <w:color w:val="000000"/>
          <w:sz w:val="24"/>
          <w:lang w:val="pl-PL"/>
        </w:rPr>
        <w:t>21 grudnia 2007 r.</w:t>
      </w:r>
    </w:p>
    <w:p>
      <w:pPr>
        <w:spacing w:after="0"/>
        <w:ind w:left="0"/>
        <w:jc w:val="left"/>
        <w:textAlignment w:val="auto"/>
      </w:pPr>
    </w:p>
    <w:p>
      <w:pPr>
        <w:numPr>
          <w:ilvl w:val="0"/>
          <w:numId w:val="1"/>
        </w:numPr>
        <w:spacing w:after="0"/>
        <w:ind w:left="0"/>
        <w:jc w:val="left"/>
        <w:textAlignment w:val="auto"/>
      </w:pPr>
    </w:p>
    <w:p>
      <w:pPr>
        <w:spacing w:after="0"/>
        <w:ind w:left="0"/>
        <w:jc w:val="left"/>
        <w:textAlignment w:val="auto"/>
      </w:pPr>
      <w:r>
        <w:br/>
      </w:r>
    </w:p>
    <w:p>
      <w:pPr>
        <w:spacing w:before="60" w:after="0"/>
        <w:ind w:left="0"/>
        <w:jc w:val="center"/>
        <w:textAlignment w:val="auto"/>
      </w:pPr>
      <w:r>
        <w:rPr>
          <w:rFonts w:ascii="Times New Roman"/>
          <w:b/>
          <w:i w:val="false"/>
          <w:color w:val="000000"/>
          <w:sz w:val="24"/>
          <w:lang w:val="pl-PL"/>
        </w:rPr>
        <w:t>USTAWA</w:t>
      </w:r>
    </w:p>
    <w:p>
      <w:pPr>
        <w:spacing w:before="80" w:after="0"/>
        <w:ind w:left="0"/>
        <w:jc w:val="center"/>
        <w:textAlignment w:val="auto"/>
      </w:pPr>
      <w:r>
        <w:rPr>
          <w:rFonts w:ascii="Times New Roman"/>
          <w:b/>
          <w:i w:val="false"/>
          <w:color w:val="000000"/>
          <w:sz w:val="24"/>
          <w:lang w:val="pl-PL"/>
        </w:rPr>
        <w:t>z dnia 23 sierpnia 2007 r.</w:t>
      </w:r>
    </w:p>
    <w:p>
      <w:pPr>
        <w:spacing w:before="80" w:after="0"/>
        <w:ind w:left="0"/>
        <w:jc w:val="center"/>
        <w:textAlignment w:val="auto"/>
      </w:pPr>
      <w:r>
        <w:rPr>
          <w:rFonts w:ascii="Times New Roman"/>
          <w:b/>
          <w:i w:val="false"/>
          <w:color w:val="000000"/>
          <w:sz w:val="24"/>
          <w:lang w:val="pl-PL"/>
        </w:rPr>
        <w:t xml:space="preserve">o przeciwdziałaniu nieuczciwym praktykom rynkowym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before="89" w:after="0"/>
        <w:ind w:left="0"/>
        <w:jc w:val="center"/>
        <w:textAlignment w:val="auto"/>
      </w:pPr>
      <w:r>
        <w:rPr>
          <w:rFonts w:ascii="Times New Roman"/>
          <w:b/>
          <w:i w:val="false"/>
          <w:color w:val="000000"/>
          <w:sz w:val="24"/>
          <w:lang w:val="pl-PL"/>
        </w:rPr>
        <w:t>Rozdział 1</w:t>
      </w:r>
    </w:p>
    <w:p>
      <w:pPr>
        <w:spacing w:before="25" w:after="0"/>
        <w:ind w:left="0"/>
        <w:jc w:val="center"/>
        <w:textAlignment w:val="auto"/>
      </w:pPr>
      <w:r>
        <w:rPr>
          <w:rFonts w:ascii="Times New Roman"/>
          <w:b/>
          <w:i w:val="false"/>
          <w:color w:val="000000"/>
          <w:sz w:val="24"/>
          <w:lang w:val="pl-PL"/>
        </w:rPr>
        <w:t>Przepisy ogólne</w:t>
      </w:r>
    </w:p>
    <w:p>
      <w:pPr>
        <w:spacing w:before="80" w:after="0"/>
        <w:ind w:left="0"/>
        <w:jc w:val="left"/>
        <w:textAlignment w:val="auto"/>
      </w:pPr>
      <w:r>
        <w:rPr>
          <w:rFonts w:ascii="Times New Roman"/>
          <w:b/>
          <w:i w:val="false"/>
          <w:color w:val="000000"/>
          <w:sz w:val="24"/>
          <w:lang w:val="pl-PL"/>
        </w:rPr>
        <w:t xml:space="preserve">Art. 1. </w:t>
      </w:r>
      <w:r>
        <w:rPr>
          <w:rFonts w:ascii="Times New Roman"/>
          <w:b/>
          <w:i w:val="false"/>
          <w:color w:val="000000"/>
          <w:sz w:val="24"/>
          <w:lang w:val="pl-PL"/>
        </w:rPr>
        <w:t xml:space="preserve"> [Przedmiot regulacji]</w:t>
      </w:r>
    </w:p>
    <w:p>
      <w:pPr>
        <w:spacing w:after="0"/>
        <w:ind w:left="0"/>
        <w:jc w:val="left"/>
        <w:textAlignment w:val="auto"/>
      </w:pPr>
      <w:r>
        <w:rPr>
          <w:rFonts w:ascii="Times New Roman"/>
          <w:b w:val="false"/>
          <w:i w:val="false"/>
          <w:color w:val="000000"/>
          <w:sz w:val="24"/>
          <w:lang w:val="pl-PL"/>
        </w:rPr>
        <w:t>Ustawa określa nieuczciwe praktyki rynkowe w działalności gospodarczej i zawodowej oraz zasady przeciwdziałania tym praktykom w interesie konsumentów i w interesie publicznym.</w:t>
      </w:r>
    </w:p>
    <w:p>
      <w:pPr>
        <w:spacing w:before="80" w:after="0"/>
        <w:ind w:left="0"/>
        <w:jc w:val="left"/>
        <w:textAlignment w:val="auto"/>
      </w:pPr>
      <w:r>
        <w:rPr>
          <w:rFonts w:ascii="Times New Roman"/>
          <w:b/>
          <w:i w:val="false"/>
          <w:color w:val="000000"/>
          <w:sz w:val="24"/>
          <w:lang w:val="pl-PL"/>
        </w:rPr>
        <w:t xml:space="preserve">Art. 2. </w:t>
      </w:r>
      <w:r>
        <w:rPr>
          <w:rFonts w:ascii="Times New Roman"/>
          <w:b/>
          <w:i w:val="false"/>
          <w:color w:val="000000"/>
          <w:sz w:val="24"/>
          <w:lang w:val="pl-PL"/>
        </w:rPr>
        <w:t xml:space="preserve"> [Definicje]</w:t>
      </w:r>
    </w:p>
    <w:p>
      <w:pPr>
        <w:spacing w:after="0"/>
        <w:ind w:left="0"/>
        <w:jc w:val="left"/>
        <w:textAlignment w:val="auto"/>
      </w:pPr>
      <w:r>
        <w:rPr>
          <w:rFonts w:ascii="Times New Roman"/>
          <w:b w:val="false"/>
          <w:i w:val="false"/>
          <w:color w:val="000000"/>
          <w:sz w:val="24"/>
          <w:lang w:val="pl-PL"/>
        </w:rPr>
        <w:t>Ilekroć w ustawie jest mowa o:</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przedsiębiorcy - rozumie się przez to osoby fizyczne, osoby prawne oraz jednostki organizacyjne nieposiadające osobowości prawnej, które prowadzą działalność gospodarczą lub zawodową, nawet jeżeli działalność ta nie ma charakteru zorganizowanego i ciągłego, a także osoby działające w ich imieniu lub na ich rzecz;</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konsumencie - rozumie się przez to konsumenta w rozumieniu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23 kwietnia 1964 r. - Kodeks cywilny (Dz. U. z 2017 r. poz. 459, 933 i 1132);</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xml:space="preserve">produkcie - rozumie się przez to każdy towar lub usługę, w tym nieruchomości, </w:t>
      </w:r>
      <w:r>
        <w:rPr>
          <w:rFonts w:ascii="Times New Roman"/>
          <w:b w:val="false"/>
          <w:i w:val="false"/>
          <w:color w:val="569748"/>
          <w:sz w:val="24"/>
          <w:u w:val="single"/>
          <w:lang w:val="pl-PL"/>
        </w:rPr>
        <w:t xml:space="preserve">usługi cyfrowe, treści cyfrowe, </w:t>
      </w:r>
      <w:r>
        <w:rPr>
          <w:rFonts w:ascii="Times New Roman"/>
          <w:b w:val="false"/>
          <w:i w:val="false"/>
          <w:color w:val="000000"/>
          <w:sz w:val="24"/>
          <w:lang w:val="pl-PL"/>
        </w:rPr>
        <w:t>prawa i obowiązki wynikające ze stosunków cywilnoprawnych;</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praktykach rynkowych - rozumie się przez to działanie lub zaniechanie przedsiębiorcy, sposób postępowania, oświadczenie lub informację handlową, w szczególności reklamę i marketing, bezpośrednio związane z promocją lub nabyciem produktu przez konsumenta;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kodeksie dobrych praktyk - rozumie się przez to zbiór zasad postępowania, a w szczególności norm etycznych i zawodowych, przedsiębiorców, którzy zobowiązali się do ich przestrzegania w odniesieniu do jednej lub większej liczby praktyk rynkowych;</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propozycji nabycia produktu - rozumie się przez to informację handlową określającą cechy produktu oraz jego cenę, w sposób właściwy dla użytego środka komunikowania się z konsumentami, która bezpośrednio wpływa bądź może wpływać na podjęcie przez konsumenta decyzji dotyczącej umowy;</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decyzji dotyczącej umowy - rozumie się przez to podejmowaną przez konsumenta decyzję, co do tego, czy, w jaki sposób i na jakich warunkach dokona zakupu, zapłaci za produkt w całości lub w części, zatrzyma produkt, rozporządzi nim lub wykona uprawnienie umowne związane z produktem, bez względu na to, czy konsument postanowi dokonać określonej czynności, czy też powstrzymać się od jej dokonania;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przeciętnym konsumencie - rozumie się przez to konsumenta, który jest dostatecznie dobrze poinformowany, uważny i ostrożny; oceny dokonuje się z uwzględnieniem czynników społecznych, kulturowych, językowych i przynależności danego konsumenta do szczególnej grupy konsumentów, przez którą rozumie się dającą się jednoznacznie zidentyfikować grupę konsumentów, szczególnie podatną na oddziaływanie praktyki rynkowej lub na produkt, którego praktyka rynkowa dotyczy, ze względu na szczególne cechy, takie jak wiek, niepełnosprawność fizyczna lub umysłowa;</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 xml:space="preserve">państwie członkowskim - rozumie się przez to państwo członkowskie Unii Europejskiej lub państwo członkowskie Europejskiego Porozumienia o Wolnym Handlu (EFTA) - stronę </w:t>
      </w:r>
      <w:r>
        <w:rPr>
          <w:rFonts w:ascii="Times New Roman"/>
          <w:b w:val="false"/>
          <w:i w:val="false"/>
          <w:color w:val="1b1b1b"/>
          <w:sz w:val="24"/>
          <w:lang w:val="pl-PL"/>
        </w:rPr>
        <w:t>umowy</w:t>
      </w:r>
      <w:r>
        <w:rPr>
          <w:rFonts w:ascii="Times New Roman"/>
          <w:b w:val="false"/>
          <w:i w:val="false"/>
          <w:color w:val="000000"/>
          <w:sz w:val="24"/>
          <w:lang w:val="pl-PL"/>
        </w:rPr>
        <w:t xml:space="preserve"> o Europejskim Obszarze Gospodarczym;</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systemie konsorcyjnym - rozumie się przez to prowadzenie działalności gospodarczej polegającej na zarządzaniu mieniem gromadzonym w ramach grupy z udziałem konsumentów, utworzonej w celu sfinansowania zakupu produktu na rzecz uczestników grupy</w:t>
      </w:r>
      <w:r>
        <w:rPr>
          <w:rFonts w:ascii="Times New Roman"/>
          <w:b w:val="false"/>
          <w:i w:val="false"/>
          <w:strike/>
          <w:color w:val="e51c23"/>
          <w:sz w:val="24"/>
          <w:lang w:val="pl-PL"/>
        </w:rPr>
        <w:t>.</w:t>
      </w:r>
      <w:r>
        <w:rPr>
          <w:rFonts w:ascii="Times New Roman"/>
          <w:b w:val="false"/>
          <w:i w:val="false"/>
          <w:color w:val="569748"/>
          <w:sz w:val="24"/>
          <w:u w:val="single"/>
          <w:lang w:val="pl-PL"/>
        </w:rPr>
        <w:t>;</w:t>
      </w:r>
    </w:p>
    <w:p>
      <w:pPr>
        <w:spacing w:before="26" w:after="0"/>
        <w:ind w:left="373"/>
        <w:jc w:val="left"/>
        <w:textAlignment w:val="auto"/>
      </w:pPr>
      <w:r>
        <w:rPr>
          <w:rFonts w:ascii="Times New Roman"/>
          <w:b w:val="false"/>
          <w:i w:val="false"/>
          <w:color w:val="569748"/>
          <w:sz w:val="24"/>
          <w:u w:val="single"/>
          <w:lang w:val="pl-PL"/>
        </w:rPr>
        <w:t xml:space="preserve">11) </w:t>
      </w:r>
      <w:r>
        <w:rPr>
          <w:rFonts w:ascii="Times New Roman"/>
          <w:b w:val="false"/>
          <w:i w:val="false"/>
          <w:color w:val="569748"/>
          <w:sz w:val="24"/>
          <w:u w:val="single"/>
          <w:vertAlign w:val="superscript"/>
          <w:lang w:val="pl-PL"/>
        </w:rPr>
        <w:t>3</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plasowaniu - rozumie się przez to przyznawanie określonej widoczności produktom lub wagi nadawanej wynikom wyszukiwania przez przedsiębiorców, którzy udostępniają funkcję wyszukiwania internetowego w formie, w jakiej zostało przedstawione, zorganizowane lub przekazane niezależnie od wykorzystanych środków technologicznych;</w:t>
      </w:r>
    </w:p>
    <w:p>
      <w:pPr>
        <w:spacing w:before="26" w:after="0"/>
        <w:ind w:left="373"/>
        <w:jc w:val="left"/>
        <w:textAlignment w:val="auto"/>
      </w:pPr>
      <w:r>
        <w:rPr>
          <w:rFonts w:ascii="Times New Roman"/>
          <w:b w:val="false"/>
          <w:i w:val="false"/>
          <w:color w:val="569748"/>
          <w:sz w:val="24"/>
          <w:u w:val="single"/>
          <w:lang w:val="pl-PL"/>
        </w:rPr>
        <w:t xml:space="preserve">12) </w:t>
      </w:r>
      <w:r>
        <w:rPr>
          <w:rFonts w:ascii="Times New Roman"/>
          <w:b w:val="false"/>
          <w:i w:val="false"/>
          <w:color w:val="569748"/>
          <w:sz w:val="24"/>
          <w:u w:val="single"/>
          <w:vertAlign w:val="superscript"/>
          <w:lang w:val="pl-PL"/>
        </w:rPr>
        <w:t>4</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internetowej platformie handlowej - rozumie się przez to internetową platformę handlową w rozumieniu </w:t>
      </w:r>
      <w:r>
        <w:rPr>
          <w:rFonts w:ascii="Times New Roman"/>
          <w:b w:val="false"/>
          <w:i w:val="false"/>
          <w:color w:val="569748"/>
          <w:sz w:val="24"/>
          <w:u w:val="single"/>
          <w:lang w:val="pl-PL"/>
        </w:rPr>
        <w:t>art. 2 pkt 8</w:t>
      </w:r>
      <w:r>
        <w:rPr>
          <w:rFonts w:ascii="Times New Roman"/>
          <w:b w:val="false"/>
          <w:i w:val="false"/>
          <w:color w:val="569748"/>
          <w:sz w:val="24"/>
          <w:u w:val="single"/>
          <w:lang w:val="pl-PL"/>
        </w:rPr>
        <w:t xml:space="preserve"> ustawy z dnia 30 maja 2014 r. o prawach konsumenta (Dz. U. z 2020 r. poz. 287, z 2021 r. poz. 2105 oraz z 2022 r. poz. 2337 i 2581).</w:t>
      </w:r>
    </w:p>
    <w:p>
      <w:pPr>
        <w:spacing w:before="89" w:after="0"/>
        <w:ind w:left="0"/>
        <w:jc w:val="center"/>
        <w:textAlignment w:val="auto"/>
      </w:pPr>
      <w:r>
        <w:rPr>
          <w:rFonts w:ascii="Times New Roman"/>
          <w:b/>
          <w:i w:val="false"/>
          <w:color w:val="000000"/>
          <w:sz w:val="24"/>
          <w:lang w:val="pl-PL"/>
        </w:rPr>
        <w:t>Rozdział 2</w:t>
      </w:r>
    </w:p>
    <w:p>
      <w:pPr>
        <w:spacing w:before="25" w:after="0"/>
        <w:ind w:left="0"/>
        <w:jc w:val="center"/>
        <w:textAlignment w:val="auto"/>
      </w:pPr>
      <w:r>
        <w:rPr>
          <w:rFonts w:ascii="Times New Roman"/>
          <w:b/>
          <w:i w:val="false"/>
          <w:color w:val="000000"/>
          <w:sz w:val="24"/>
          <w:lang w:val="pl-PL"/>
        </w:rPr>
        <w:t>Nieuczciwe praktyki rynkowe</w:t>
      </w:r>
    </w:p>
    <w:p>
      <w:pPr>
        <w:spacing w:before="80" w:after="0"/>
        <w:ind w:left="0"/>
        <w:jc w:val="left"/>
        <w:textAlignment w:val="auto"/>
      </w:pPr>
      <w:r>
        <w:rPr>
          <w:rFonts w:ascii="Times New Roman"/>
          <w:b/>
          <w:i w:val="false"/>
          <w:color w:val="000000"/>
          <w:sz w:val="24"/>
          <w:lang w:val="pl-PL"/>
        </w:rPr>
        <w:t xml:space="preserve">Art. 3. </w:t>
      </w:r>
      <w:r>
        <w:rPr>
          <w:rFonts w:ascii="Times New Roman"/>
          <w:b/>
          <w:i w:val="false"/>
          <w:color w:val="000000"/>
          <w:sz w:val="24"/>
          <w:lang w:val="pl-PL"/>
        </w:rPr>
        <w:t xml:space="preserve"> [Zakaz stosowania nieuczciwych praktyk rynkowych]</w:t>
      </w:r>
    </w:p>
    <w:p>
      <w:pPr>
        <w:spacing w:after="0"/>
        <w:ind w:left="0"/>
        <w:jc w:val="left"/>
        <w:textAlignment w:val="auto"/>
      </w:pPr>
      <w:r>
        <w:rPr>
          <w:rFonts w:ascii="Times New Roman"/>
          <w:b w:val="false"/>
          <w:i w:val="false"/>
          <w:color w:val="000000"/>
          <w:sz w:val="24"/>
          <w:lang w:val="pl-PL"/>
        </w:rPr>
        <w:t>Zakazane jest stosowanie nieuczciwych praktyk rynkowych.</w:t>
      </w:r>
    </w:p>
    <w:p>
      <w:pPr>
        <w:spacing w:before="80" w:after="0"/>
        <w:ind w:left="0"/>
        <w:jc w:val="left"/>
        <w:textAlignment w:val="auto"/>
      </w:pPr>
      <w:r>
        <w:rPr>
          <w:rFonts w:ascii="Times New Roman"/>
          <w:b/>
          <w:i w:val="false"/>
          <w:color w:val="000000"/>
          <w:sz w:val="24"/>
          <w:lang w:val="pl-PL"/>
        </w:rPr>
        <w:t xml:space="preserve">Art. 4. </w:t>
      </w:r>
      <w:r>
        <w:rPr>
          <w:rFonts w:ascii="Times New Roman"/>
          <w:b/>
          <w:i w:val="false"/>
          <w:color w:val="000000"/>
          <w:sz w:val="24"/>
          <w:lang w:val="pl-PL"/>
        </w:rPr>
        <w:t xml:space="preserve"> [Nieuczciwa praktyka rynkowa - definicja]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Praktyka rynkowa stosowana przez przedsiębiorców wobec konsumentów jest nieuczciwa, jeżeli jest sprzeczna z dobrymi obyczajami i w istotny sposób zniekształca lub może zniekształcić zachowanie rynkowe przeciętnego konsumenta przed zawarciem umowy dotyczącej produktu, w trakcie jej zawierania lub po jej zawarciu.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nieuczciwą praktykę rynkową uznaje się w szczególności praktykę rynkową wprowadzającą w błąd oraz agresywną praktykę rynkową, a także stosowanie sprzecznego z prawem kodeksu dobrych praktyk. Praktyki te nie podlegają ocenie w świetle przesłanek określonych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Za nieuczciwą praktykę rynkową uznaje się prowadzenie działalności w formie systemu konsorcyjnego lub organizowanie grupy z udziałem konsumentów w celu finansowania zakupu w systemie konsorcyjnym. Praktyki te nie podlegają ocenie w świetle przesłanek określonych w ust. 1.</w:t>
      </w:r>
    </w:p>
    <w:p>
      <w:pPr>
        <w:spacing w:before="80" w:after="0"/>
        <w:ind w:left="0"/>
        <w:jc w:val="left"/>
        <w:textAlignment w:val="auto"/>
      </w:pPr>
      <w:r>
        <w:rPr>
          <w:rFonts w:ascii="Times New Roman"/>
          <w:b/>
          <w:i w:val="false"/>
          <w:color w:val="000000"/>
          <w:sz w:val="24"/>
          <w:lang w:val="pl-PL"/>
        </w:rPr>
        <w:t xml:space="preserve">Art. 5. </w:t>
      </w:r>
      <w:r>
        <w:rPr>
          <w:rFonts w:ascii="Times New Roman"/>
          <w:b/>
          <w:i w:val="false"/>
          <w:color w:val="000000"/>
          <w:sz w:val="24"/>
          <w:lang w:val="pl-PL"/>
        </w:rPr>
        <w:t xml:space="preserve"> [Przesłanki uznania praktyki rynkowej za działanie wprowadzające w błąd]</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Praktykę rynkową uznaje się za działanie wprowadzające w błąd, jeżeli działanie to w jakikolwiek sposób powoduje lub może powodować podjęcie przez przeciętnego konsumenta decyzji dotyczącej umowy, której inaczej by nie podjął.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Wprowadzającym w błąd działaniem może być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rozpowszechnianie nieprawdziwych informacji;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rozpowszechnianie prawdziwych informacji w sposób mogący wprowadzać w błąd;</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 xml:space="preserve">działanie związane z wprowadzeniem produktu na rynek, które może wprowadzać w błąd w zakresie produktów lub ich opakowań, znaków towarowych, nazw handlowych lub innych oznaczeń indywidualizujących przedsiębiorcę lub jego produkty, w szczególności reklama porównawcza w rozumieniu </w:t>
      </w:r>
      <w:r>
        <w:rPr>
          <w:rFonts w:ascii="Times New Roman"/>
          <w:b w:val="false"/>
          <w:i w:val="false"/>
          <w:color w:val="1b1b1b"/>
          <w:sz w:val="24"/>
          <w:lang w:val="pl-PL"/>
        </w:rPr>
        <w:t>art. 16 ust. 3</w:t>
      </w:r>
      <w:r>
        <w:rPr>
          <w:rFonts w:ascii="Times New Roman"/>
          <w:b w:val="false"/>
          <w:i w:val="false"/>
          <w:color w:val="000000"/>
          <w:sz w:val="24"/>
          <w:lang w:val="pl-PL"/>
        </w:rPr>
        <w:t xml:space="preserve"> ustawy z dnia 16 kwietnia 1993 r. o zwalczaniu nieuczciwej konkurencji (Dz. U. z 2003 r. poz. 1503, z późn. zm.);</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nieprzestrzeganie kodeksu dobrych praktyk, do którego przedsiębiorca dobrowolnie przystąpił, jeżeli przedsiębiorca ten informuje w ramach praktyki rynkowej, że jest związany kodeksem dobrych praktyk</w:t>
      </w:r>
      <w:r>
        <w:rPr>
          <w:rFonts w:ascii="Times New Roman"/>
          <w:b w:val="false"/>
          <w:i w:val="false"/>
          <w:strike/>
          <w:color w:val="e51c23"/>
          <w:sz w:val="24"/>
          <w:lang w:val="pl-PL"/>
        </w:rPr>
        <w:t>.</w:t>
      </w:r>
      <w:r>
        <w:rPr>
          <w:rFonts w:ascii="Times New Roman"/>
          <w:b w:val="false"/>
          <w:i w:val="false"/>
          <w:color w:val="569748"/>
          <w:sz w:val="24"/>
          <w:u w:val="single"/>
          <w:lang w:val="pl-PL"/>
        </w:rPr>
        <w:t>;</w:t>
      </w:r>
    </w:p>
    <w:p>
      <w:pPr>
        <w:spacing w:before="26" w:after="0"/>
        <w:ind w:left="373"/>
        <w:jc w:val="left"/>
        <w:textAlignment w:val="auto"/>
      </w:pPr>
      <w:r>
        <w:rPr>
          <w:rFonts w:ascii="Times New Roman"/>
          <w:b w:val="false"/>
          <w:i w:val="false"/>
          <w:color w:val="569748"/>
          <w:sz w:val="24"/>
          <w:u w:val="single"/>
          <w:lang w:val="pl-PL"/>
        </w:rPr>
        <w:t xml:space="preserve">5) </w:t>
      </w:r>
      <w:r>
        <w:rPr>
          <w:rFonts w:ascii="Times New Roman"/>
          <w:b w:val="false"/>
          <w:i w:val="false"/>
          <w:color w:val="569748"/>
          <w:sz w:val="24"/>
          <w:u w:val="single"/>
          <w:vertAlign w:val="superscript"/>
          <w:lang w:val="pl-PL"/>
        </w:rPr>
        <w:t>5</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każdy rodzaj wprowadzenia na rynek w co najmniej jednym państwie członkowskim towaru jako identycznego z towarem wprowadzonym na rynki w innych państwach członkowskich, mimo że towar ten w sposób istotny różni się składem lub właściwościami, chyba że przemawiają za tym uzasadnione i obiektywne czynniki.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Wprowadzające w błąd działanie może w szczególności dotyczyć: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istnienia produktu, jego rodzaju lub dostępności;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cech produktu, w szczególności jego pochodzenia geograficznego lub handlowego, ilości, jakości, sposobu wykonania, składników, daty produkcji, przydatności, możliwości i spodziewanych wyników zastosowania produktu, wyposażenia dodatkowego, testów i wyników badań lub kontroli przeprowadzanych na produkcie, zezwoleń, nagród lub wyróżnień uzyskanych przez produkt, ryzyka i korzyści związanych z produktem;</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obowiązków przedsiębiorcy związanych z produktem, w tym usług serwisowych i procedury reklamacyjnej, dostawy, niezbędnych usług, części, wymiany lub naprawy;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praw konsumenta, w szczególności prawa do naprawy lub wymiany produktu na nowy albo prawa do obniżenia ceny lub do odstąpienia od umowy;</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ceny, sposobu obliczania ceny lub istnienia szczególnej korzyści cenowej;</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rodzaju sprzedaży, powodów stosowania przez przedsiębiorcę praktyki rynkowej, oświadczeń i symboli dotyczących bezpośredniego lub pośredniego sponsorowania, informacji dotyczących sytuacji gospodarczej lub prawnej przedsiębiorcy lub jego przedstawiciela, w tym jego imienia i nazwiska (nazwy) i majątku, kwalifikacji, statusu, posiadanych zezwoleń, członkostwa lub powiązań oraz praw własności przemysłowej i intelektualnej lub nagród i wyróżnień.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Przy ocenie, czy praktyka rynkowa wprowadza w błąd przez działanie, należy uwzględnić wszystkie jej elementy oraz okoliczności wprowadzenia produktu na rynek, w tym sposób jego prezentacji.</w:t>
      </w:r>
    </w:p>
    <w:p>
      <w:pPr>
        <w:spacing w:before="80" w:after="0"/>
        <w:ind w:left="0"/>
        <w:jc w:val="left"/>
        <w:textAlignment w:val="auto"/>
      </w:pPr>
      <w:r>
        <w:rPr>
          <w:rFonts w:ascii="Times New Roman"/>
          <w:b/>
          <w:i w:val="false"/>
          <w:color w:val="000000"/>
          <w:sz w:val="24"/>
          <w:lang w:val="pl-PL"/>
        </w:rPr>
        <w:t xml:space="preserve">Art. 6. </w:t>
      </w:r>
      <w:r>
        <w:rPr>
          <w:rFonts w:ascii="Times New Roman"/>
          <w:b/>
          <w:i w:val="false"/>
          <w:color w:val="000000"/>
          <w:sz w:val="24"/>
          <w:lang w:val="pl-PL"/>
        </w:rPr>
        <w:t xml:space="preserve"> [Przesłanki uznania praktyki rynkowej za zaniechanie wprowadzające w błąd]</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Praktykę rynkową uznaje się za zaniechanie wprowadzające w błąd, jeżeli pomija istotne informacje potrzebne przeciętnemu konsumentowi do podjęcia decyzji dotyczącej umowy i tym samym powoduje lub może powodować podjęcie przez przeciętnego konsumenta decyzji dotyczącej umowy, której inaczej by nie podjął.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razie wątpliwości za istotne informacje, o których mowa w ust. 1, uważa się informacje, które przedsiębiorca stosujący praktykę rynkową jest obowiązany podać konsumentom na podstawie odrębnych przepisów.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Wprowadzającym w błąd zaniechaniem może być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zatajenie lub nieprzekazanie w sposób jasny, jednoznaczny lub we właściwym czasie istotnych informacji dotyczących produktu;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nieujawnienie handlowego celu praktyki, jeżeli nie wynika on jednoznacznie z okoliczności i jeżeli powoduje to lub może spowodować podjęcie przez przeciętnego konsumenta decyzji dotyczącej umowy, której inaczej by nie podjął.</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 przypadku propozycji nabycia produktu, za istotne informacje, o których mowa w ust. 1, uznaje się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istotne cechy produktu w takim zakresie, w jakim jest to właściwe dla danego środka komunikowania się z konsumentami i produktu;</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imię, nazwisko (nazwę) i adres przedsiębiorcy (siedzibę) oraz przedsiębiorcy, na którego rzecz działa;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cenę uwzględniającą podatki lub, w przypadku gdy charakter produktu nie pozwala w sposób racjonalny na wcześniejsze obliczenie ceny, sposób, w jaki cena jest obliczana, jak również wszelkie dodatkowe opłaty za transport, dostawę lub usługi pocztowe lub, w sytuacji gdy wcześniejsze obliczenie tych opłat nie jest w sposób racjonalny możliwe, informację o możliwości powstania takich dodatkowych kosztów;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w:t>
      </w:r>
      <w:r>
        <w:rPr>
          <w:rFonts w:ascii="Times New Roman"/>
          <w:b w:val="false"/>
          <w:i w:val="false"/>
          <w:color w:val="000000"/>
          <w:sz w:val="24"/>
          <w:lang w:val="pl-PL"/>
        </w:rPr>
        <w:t>uzgodnienia dotyczące sposobu płatności, dostawy lub wykonania produktu</w:t>
      </w:r>
      <w:r>
        <w:rPr>
          <w:rFonts w:ascii="Times New Roman"/>
          <w:b w:val="false"/>
          <w:i w:val="false"/>
          <w:strike/>
          <w:color w:val="e51c23"/>
          <w:sz w:val="24"/>
          <w:lang w:val="pl-PL"/>
        </w:rPr>
        <w:t xml:space="preserve"> oraz procedury rozpatrywania reklamacji</w:t>
      </w:r>
      <w:r>
        <w:rPr>
          <w:rFonts w:ascii="Times New Roman"/>
          <w:b w:val="false"/>
          <w:i w:val="false"/>
          <w:color w:val="000000"/>
          <w:sz w:val="24"/>
          <w:lang w:val="pl-PL"/>
        </w:rPr>
        <w:t>;</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informacje o istnieniu prawa do odstąpienia od umowy lub rozwiązania umowy, jeżeli prawo takie wynika z ustawy lub umowy</w:t>
      </w:r>
      <w:r>
        <w:rPr>
          <w:rFonts w:ascii="Times New Roman"/>
          <w:b w:val="false"/>
          <w:i w:val="false"/>
          <w:strike/>
          <w:color w:val="e51c23"/>
          <w:sz w:val="24"/>
          <w:lang w:val="pl-PL"/>
        </w:rPr>
        <w:t>.</w:t>
      </w:r>
      <w:r>
        <w:rPr>
          <w:rFonts w:ascii="Times New Roman"/>
          <w:b w:val="false"/>
          <w:i w:val="false"/>
          <w:color w:val="569748"/>
          <w:sz w:val="24"/>
          <w:u w:val="single"/>
          <w:lang w:val="pl-PL"/>
        </w:rPr>
        <w:t>;</w:t>
      </w:r>
    </w:p>
    <w:p>
      <w:pPr>
        <w:spacing w:before="26" w:after="0"/>
        <w:ind w:left="373"/>
        <w:jc w:val="left"/>
        <w:textAlignment w:val="auto"/>
      </w:pPr>
      <w:r>
        <w:rPr>
          <w:rFonts w:ascii="Times New Roman"/>
          <w:b w:val="false"/>
          <w:i w:val="false"/>
          <w:color w:val="569748"/>
          <w:sz w:val="24"/>
          <w:u w:val="single"/>
          <w:lang w:val="pl-PL"/>
        </w:rPr>
        <w:t xml:space="preserve">6) </w:t>
      </w:r>
      <w:r>
        <w:rPr>
          <w:rFonts w:ascii="Times New Roman"/>
          <w:b w:val="false"/>
          <w:i w:val="false"/>
          <w:color w:val="569748"/>
          <w:sz w:val="24"/>
          <w:u w:val="single"/>
          <w:vertAlign w:val="superscript"/>
          <w:lang w:val="pl-PL"/>
        </w:rPr>
        <w:t>7</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informacje o tym, czy osoba trzecia oferująca produkty na internetowej platformie handlowej jest przedsiębiorcą - na podstawie oświadczenia tej osoby złożonego dostawcy internetowej platformy handlowej w rozumieniu art. 2 pkt 9 ustawy z dnia 30 maja 2014 r. o prawach konsumenta;</w:t>
      </w:r>
    </w:p>
    <w:p>
      <w:pPr>
        <w:spacing w:before="26" w:after="0"/>
        <w:ind w:left="373"/>
        <w:jc w:val="left"/>
        <w:textAlignment w:val="auto"/>
      </w:pPr>
      <w:r>
        <w:rPr>
          <w:rFonts w:ascii="Times New Roman"/>
          <w:b w:val="false"/>
          <w:i w:val="false"/>
          <w:color w:val="569748"/>
          <w:sz w:val="24"/>
          <w:u w:val="single"/>
          <w:lang w:val="pl-PL"/>
        </w:rPr>
        <w:t xml:space="preserve">7) </w:t>
      </w:r>
      <w:r>
        <w:rPr>
          <w:rFonts w:ascii="Times New Roman"/>
          <w:b w:val="false"/>
          <w:i w:val="false"/>
          <w:color w:val="569748"/>
          <w:sz w:val="24"/>
          <w:u w:val="single"/>
          <w:vertAlign w:val="superscript"/>
          <w:lang w:val="pl-PL"/>
        </w:rPr>
        <w:t>8</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informacje o tym, czy i w jaki sposób przedsiębiorca zapewnia, aby publikowane opinie pochodziły od konsumentów, którzy używali danego produktu lub go nabyli - w przypadku przedsiębiorcy, który umożliwia dostęp do wystawionych przez konsumentów opinii o produktach;</w:t>
      </w:r>
    </w:p>
    <w:p>
      <w:pPr>
        <w:spacing w:before="26" w:after="0"/>
        <w:ind w:left="373"/>
        <w:jc w:val="left"/>
        <w:textAlignment w:val="auto"/>
      </w:pPr>
      <w:r>
        <w:rPr>
          <w:rFonts w:ascii="Times New Roman"/>
          <w:b w:val="false"/>
          <w:i w:val="false"/>
          <w:color w:val="569748"/>
          <w:sz w:val="24"/>
          <w:u w:val="single"/>
          <w:lang w:val="pl-PL"/>
        </w:rPr>
        <w:t xml:space="preserve">8) </w:t>
      </w:r>
      <w:r>
        <w:rPr>
          <w:rFonts w:ascii="Times New Roman"/>
          <w:b w:val="false"/>
          <w:i w:val="false"/>
          <w:color w:val="569748"/>
          <w:sz w:val="24"/>
          <w:u w:val="single"/>
          <w:vertAlign w:val="superscript"/>
          <w:lang w:val="pl-PL"/>
        </w:rPr>
        <w:t>9</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ogólne informacje udostępniane w specjalnej części interfejsu internetowego dostępnej w sposób bezpośredni i łatwy ze strony, na której prezentowane są wyniki wyszukiwania dotyczące głównych parametrów decydujących o plasowaniu produktów przedstawianych konsumentowi w wyniku wyszukiwania oraz względne znaczenie tych parametrów w porównaniu z innymi parametrami - w przypadku gdy udostępnia się konsumentom możliwość wyszukiwania produktów oferowanych przez różnych przedsiębiorców lub konsumentów i niezależnie od tego, gdzie transakcja ostatecznie zostanie zawarta.</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Przy ocenie, czy praktyka rynkowa wprowadza w błąd przez zaniechanie, należy uwzględnić wszystkie jej elementy oraz okoliczności wprowadzenia produktu na rynek, w tym sposób jego prezentacji.</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W przypadku gdy ze specyfiki środka komunikowania się z konsumentami stosowanego dla danej praktyki rynkowej wynikają ograniczenia przestrzenne lub czasowe, ograniczenia te i wszystkie środki podjęte przez przedsiębiorcę w celu udostępnienia informacji konsumentom w inny sposób uwzględnia się przy ocenie, czy doszło do pominięcia informacji.</w:t>
      </w:r>
    </w:p>
    <w:p>
      <w:pPr>
        <w:spacing w:before="26" w:after="0"/>
        <w:ind w:left="0"/>
        <w:jc w:val="left"/>
        <w:textAlignment w:val="auto"/>
      </w:pPr>
      <w:r>
        <w:rPr>
          <w:rFonts w:ascii="Times New Roman"/>
          <w:b w:val="false"/>
          <w:i w:val="false"/>
          <w:color w:val="569748"/>
          <w:sz w:val="24"/>
          <w:u w:val="single"/>
          <w:lang w:val="pl-PL"/>
        </w:rPr>
        <w:t xml:space="preserve">7. </w:t>
      </w:r>
      <w:r>
        <w:rPr>
          <w:rFonts w:ascii="Times New Roman"/>
          <w:b w:val="false"/>
          <w:i w:val="false"/>
          <w:color w:val="569748"/>
          <w:sz w:val="24"/>
          <w:u w:val="single"/>
          <w:vertAlign w:val="superscript"/>
          <w:lang w:val="pl-PL"/>
        </w:rPr>
        <w:t>10</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Przepisu ust. 4 pkt 8 nie stosuje się do dostawców wyszukiwarek internetowych w rozumieniu </w:t>
      </w:r>
      <w:r>
        <w:rPr>
          <w:rFonts w:ascii="Times New Roman"/>
          <w:b w:val="false"/>
          <w:i w:val="false"/>
          <w:color w:val="569748"/>
          <w:sz w:val="24"/>
          <w:u w:val="single"/>
          <w:lang w:val="pl-PL"/>
        </w:rPr>
        <w:t>art. 2 pkt 6</w:t>
      </w:r>
      <w:r>
        <w:rPr>
          <w:rFonts w:ascii="Times New Roman"/>
          <w:b w:val="false"/>
          <w:i w:val="false"/>
          <w:color w:val="569748"/>
          <w:sz w:val="24"/>
          <w:u w:val="single"/>
          <w:lang w:val="pl-PL"/>
        </w:rPr>
        <w:t xml:space="preserve"> rozporządzenia Parlamentu Europejskiego i Rady (UE) 2019/1150 z dnia 20 czerwca 2019 r. w sprawie propagowania sprawiedliwości i przejrzystości dla użytkowników biznesowych korzystających z usług pośrednictwa internetowego (Dz. Urz. UE L 186 z 11.07.2019, str. 57).</w:t>
      </w:r>
    </w:p>
    <w:p>
      <w:pPr>
        <w:spacing w:before="80" w:after="0"/>
        <w:ind w:left="0"/>
        <w:jc w:val="left"/>
        <w:textAlignment w:val="auto"/>
      </w:pPr>
      <w:r>
        <w:rPr>
          <w:rFonts w:ascii="Times New Roman"/>
          <w:b/>
          <w:i w:val="false"/>
          <w:color w:val="000000"/>
          <w:sz w:val="24"/>
          <w:lang w:val="pl-PL"/>
        </w:rPr>
        <w:t xml:space="preserve">Art. 7. </w:t>
      </w:r>
      <w:r>
        <w:rPr>
          <w:rFonts w:ascii="Times New Roman"/>
          <w:b/>
          <w:i w:val="false"/>
          <w:color w:val="000000"/>
          <w:sz w:val="24"/>
          <w:lang w:val="pl-PL"/>
        </w:rPr>
        <w:t xml:space="preserve"> [Czarna lista nieuczciwych praktyk rynkowych]</w:t>
      </w:r>
    </w:p>
    <w:p>
      <w:pPr>
        <w:spacing w:after="0"/>
        <w:ind w:left="0"/>
        <w:jc w:val="left"/>
        <w:textAlignment w:val="auto"/>
      </w:pPr>
      <w:r>
        <w:rPr>
          <w:rFonts w:ascii="Times New Roman"/>
          <w:b w:val="false"/>
          <w:i w:val="false"/>
          <w:color w:val="000000"/>
          <w:sz w:val="24"/>
          <w:lang w:val="pl-PL"/>
        </w:rPr>
        <w:t>Nieuczciwymi praktykami rynkowymi w każdych okolicznościach są następujące praktyki rynkowe wprowadzające w błąd:</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podawanie przez przedsiębiorcę informacji, że zobowiązał się on do przestrzegania kodeksu dobrych praktyk, jeżeli jest to niezgodne z prawdą;</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posługiwanie się certyfikatem, znakiem jakości lub równorzędnym oznaczeniem, nie mając do tego uprawnienia;</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twierdzenie, że kodeks dobrych praktyk został zatwierdzony przez organ publiczny lub inny organ, jeżeli jest to niezgodne z prawdą;</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twierdzenie, że:</w:t>
      </w:r>
    </w:p>
    <w:p>
      <w:pPr>
        <w:spacing w:after="0"/>
        <w:ind w:left="746"/>
        <w:jc w:val="left"/>
        <w:textAlignment w:val="auto"/>
      </w:pPr>
      <w:r>
        <w:rPr>
          <w:rFonts w:ascii="Times New Roman"/>
          <w:b w:val="false"/>
          <w:i w:val="false"/>
          <w:color w:val="000000"/>
          <w:sz w:val="24"/>
          <w:lang w:val="pl-PL"/>
        </w:rPr>
        <w:t xml:space="preserve">a) </w:t>
      </w:r>
      <w:r>
        <w:rPr>
          <w:rFonts w:ascii="Times New Roman"/>
          <w:b w:val="false"/>
          <w:i w:val="false"/>
          <w:color w:val="000000"/>
          <w:sz w:val="24"/>
          <w:lang w:val="pl-PL"/>
        </w:rPr>
        <w:t>przedsiębiorca uzyskał stosowne uprawnienie od organu publicznego lub podmiotu prywatnego,</w:t>
      </w:r>
    </w:p>
    <w:p>
      <w:pPr>
        <w:spacing w:after="0"/>
        <w:ind w:left="746"/>
        <w:jc w:val="left"/>
        <w:textAlignment w:val="auto"/>
      </w:pPr>
      <w:r>
        <w:rPr>
          <w:rFonts w:ascii="Times New Roman"/>
          <w:b w:val="false"/>
          <w:i w:val="false"/>
          <w:color w:val="000000"/>
          <w:sz w:val="24"/>
          <w:lang w:val="pl-PL"/>
        </w:rPr>
        <w:t xml:space="preserve">b) </w:t>
      </w:r>
      <w:r>
        <w:rPr>
          <w:rFonts w:ascii="Times New Roman"/>
          <w:b w:val="false"/>
          <w:i w:val="false"/>
          <w:color w:val="000000"/>
          <w:sz w:val="24"/>
          <w:lang w:val="pl-PL"/>
        </w:rPr>
        <w:t>praktyki rynkowe lub produkt zostały zatwierdzone, zaaprobowane lub uzyskały inne stosowne uprawnienie od organu publicznego lub podmiotu prywatnego</w:t>
      </w:r>
    </w:p>
    <w:p>
      <w:pPr>
        <w:spacing w:before="25" w:after="0"/>
        <w:ind w:left="373"/>
        <w:jc w:val="both"/>
        <w:textAlignment w:val="auto"/>
      </w:pPr>
      <w:r>
        <w:rPr>
          <w:rFonts w:ascii="Times New Roman"/>
          <w:b w:val="false"/>
          <w:i w:val="false"/>
          <w:color w:val="000000"/>
          <w:sz w:val="24"/>
          <w:lang w:val="pl-PL"/>
        </w:rPr>
        <w:t>- przy jednoczesnym niespełnieniu warunków zatwierdzenia, aprobaty lub warunków niezbędnych do uzyskania innego stosownego uprawnienia;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reklama przynęta, która polega na propozycji nabycia produktu po określonej cenie, bez ujawniania, że przedsiębiorca może mieć uzasadnione podstawy, aby sądzić, że nie będzie w stanie dostarczyć lub zamówić u innego przedsiębiorcy dostawy tych lub równorzędnych produktów po takiej cenie, przez taki okres i w takich ilościach, jakie są uzasadnione, biorąc pod uwagę produkt, zakres reklamy produktu i oferowaną cenę;</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reklama przynęta i zamiana, która polega na propozycji nabycia produktu po określonej cenie, a następnie odmowie pokazania konsumentom reklamowanego produktu lub odmowie przyjęcia zamówień na produkt lub dostarczenia go w racjonalnym terminie lub demonstrowaniu wadliwej próbki produktu, z zamiarem promowania innego produktu;</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twierdzenie, że produkt będzie dostępny jedynie przez bardzo ograniczony czas lub że będzie on dostępny na określonych warunkach przez bardzo ograniczony czas, jeżeli jest to niezgodne z prawdą, w celu nakłonienia konsumenta do podjęcia natychmiastowej decyzji dotyczącej umowy i pozbawienia go możliwości świadomego wyboru produktu;</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zobowiązanie się do zapewnienia usług serwisowych konsumentom, z którymi przedsiębiorca przed zawarciem umowy komunikował się w języku niebędącym językiem urzędowym państwa członkowskiego, na którego terytorium przedsiębiorca ma swoją siedzibę, a następnie udostępnienie takich usług jedynie w innym języku, bez wyraźnego poinformowania o tym konsumenta przed zawarciem przez niego umowy;</w:t>
      </w:r>
    </w:p>
    <w:p>
      <w:pPr>
        <w:spacing w:before="26" w:after="0"/>
        <w:ind w:left="373"/>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twierdzenie lub wywoływanie wrażenia, że sprzedaż produktu jest zgodna z prawem, jeżeli jest to niezgodne z prawdą;</w:t>
      </w:r>
    </w:p>
    <w:p>
      <w:pPr>
        <w:spacing w:before="26" w:after="0"/>
        <w:ind w:left="373"/>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prezentowanie uprawnień przysługujących konsumentom z mocy prawa, jako cechy wyróżniającej ofertę przedsiębiorcy;</w:t>
      </w:r>
    </w:p>
    <w:p>
      <w:pPr>
        <w:spacing w:before="26" w:after="0"/>
        <w:ind w:left="373"/>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kryptoreklama, która polega na wykorzystywaniu treści publicystycznych w środkach masowego przekazu w celu promocji produktu w sytuacji gdy przedsiębiorca zapłacił za tę promocję, a nie wynika to wyraźnie z treści lub z obrazów lub dźwięków łatwo rozpoznawalnych przez konsumenta;</w:t>
      </w:r>
    </w:p>
    <w:p>
      <w:pPr>
        <w:spacing w:before="26" w:after="0"/>
        <w:ind w:left="373"/>
        <w:jc w:val="left"/>
        <w:textAlignment w:val="auto"/>
      </w:pPr>
      <w:r>
        <w:rPr>
          <w:rFonts w:ascii="Times New Roman"/>
          <w:b w:val="false"/>
          <w:i w:val="false"/>
          <w:color w:val="569748"/>
          <w:sz w:val="24"/>
          <w:u w:val="single"/>
          <w:lang w:val="pl-PL"/>
        </w:rPr>
        <w:t xml:space="preserve">11a) </w:t>
      </w:r>
      <w:r>
        <w:rPr>
          <w:rFonts w:ascii="Times New Roman"/>
          <w:b w:val="false"/>
          <w:i w:val="false"/>
          <w:color w:val="569748"/>
          <w:sz w:val="24"/>
          <w:u w:val="single"/>
          <w:vertAlign w:val="superscript"/>
          <w:lang w:val="pl-PL"/>
        </w:rPr>
        <w:t>11</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podawanie wyników wyszukiwania bez wyraźnego ujawnienia płatnej reklamy lub płatności dokonanej specjalnie w celu uzyskania wyższego plasowania produktów w ramach wyników wyszukiwania - w odpowiedzi na internetowe wyszukiwanie konsumenta;</w:t>
      </w:r>
    </w:p>
    <w:p>
      <w:pPr>
        <w:spacing w:before="26" w:after="0"/>
        <w:ind w:left="373"/>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przedstawianie nierzetelnych informacji dotyczących rodzaju i stopnia ryzyka, na jakie będzie narażone bezpieczeństwo osobiste konsumenta lub jego rodziny, w przypadku gdy nie nabędzie produktu;</w:t>
      </w:r>
    </w:p>
    <w:p>
      <w:pPr>
        <w:spacing w:before="26" w:after="0"/>
        <w:ind w:left="373"/>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reklamowanie produktu podobnego do produktu innego przedsiębiorcy w sposób celowo sugerujący konsumentowi, że produkt ten został wykonany przez tego samego przedsiębiorcę, jeżeli jest to niezgodne z prawdą;</w:t>
      </w:r>
    </w:p>
    <w:p>
      <w:pPr>
        <w:spacing w:before="26" w:after="0"/>
        <w:ind w:left="373"/>
        <w:jc w:val="left"/>
        <w:textAlignment w:val="auto"/>
      </w:pPr>
      <w:r>
        <w:rPr>
          <w:rFonts w:ascii="Times New Roman"/>
          <w:b w:val="false"/>
          <w:i w:val="false"/>
          <w:color w:val="000000"/>
          <w:sz w:val="24"/>
          <w:lang w:val="pl-PL"/>
        </w:rPr>
        <w:t xml:space="preserve">14) </w:t>
      </w:r>
      <w:r>
        <w:rPr>
          <w:rFonts w:ascii="Times New Roman"/>
          <w:b w:val="false"/>
          <w:i w:val="false"/>
          <w:color w:val="000000"/>
          <w:sz w:val="24"/>
          <w:lang w:val="pl-PL"/>
        </w:rPr>
        <w:t>zakładanie, prowadzenie lub propagowanie systemów promocyjnych typu piramida, w ramach których konsument wykonuje świadczenie w zamian za możliwość otrzymania korzyści materialnych, które są uzależnione przede wszystkim od wprowadzenia innych konsumentów do systemu, a nie od sprzedaży lub konsumpcji produktów;</w:t>
      </w:r>
    </w:p>
    <w:p>
      <w:pPr>
        <w:spacing w:before="26" w:after="0"/>
        <w:ind w:left="373"/>
        <w:jc w:val="left"/>
        <w:textAlignment w:val="auto"/>
      </w:pPr>
      <w:r>
        <w:rPr>
          <w:rFonts w:ascii="Times New Roman"/>
          <w:b w:val="false"/>
          <w:i w:val="false"/>
          <w:color w:val="000000"/>
          <w:sz w:val="24"/>
          <w:lang w:val="pl-PL"/>
        </w:rPr>
        <w:t xml:space="preserve">15) </w:t>
      </w:r>
      <w:r>
        <w:rPr>
          <w:rFonts w:ascii="Times New Roman"/>
          <w:b w:val="false"/>
          <w:i w:val="false"/>
          <w:color w:val="000000"/>
          <w:sz w:val="24"/>
          <w:lang w:val="pl-PL"/>
        </w:rPr>
        <w:t>twierdzenie, że przedsiębiorca wkrótce zakończy działalność lub zmieni miejsce jej wykonywania, jeżeli jest to niezgodne z prawdą;</w:t>
      </w:r>
    </w:p>
    <w:p>
      <w:pPr>
        <w:spacing w:before="26" w:after="0"/>
        <w:ind w:left="373"/>
        <w:jc w:val="left"/>
        <w:textAlignment w:val="auto"/>
      </w:pPr>
      <w:r>
        <w:rPr>
          <w:rFonts w:ascii="Times New Roman"/>
          <w:b w:val="false"/>
          <w:i w:val="false"/>
          <w:color w:val="000000"/>
          <w:sz w:val="24"/>
          <w:lang w:val="pl-PL"/>
        </w:rPr>
        <w:t xml:space="preserve">16) </w:t>
      </w:r>
      <w:r>
        <w:rPr>
          <w:rFonts w:ascii="Times New Roman"/>
          <w:b w:val="false"/>
          <w:i w:val="false"/>
          <w:color w:val="000000"/>
          <w:sz w:val="24"/>
          <w:lang w:val="pl-PL"/>
        </w:rPr>
        <w:t>twierdzenie, że nabycie produktu jest w stanie zwiększyć szanse na wygraną w grach losowych;</w:t>
      </w:r>
    </w:p>
    <w:p>
      <w:pPr>
        <w:spacing w:before="26" w:after="0"/>
        <w:ind w:left="373"/>
        <w:jc w:val="left"/>
        <w:textAlignment w:val="auto"/>
      </w:pPr>
      <w:r>
        <w:rPr>
          <w:rFonts w:ascii="Times New Roman"/>
          <w:b w:val="false"/>
          <w:i w:val="false"/>
          <w:color w:val="000000"/>
          <w:sz w:val="24"/>
          <w:lang w:val="pl-PL"/>
        </w:rPr>
        <w:t xml:space="preserve">17) </w:t>
      </w:r>
      <w:r>
        <w:rPr>
          <w:rFonts w:ascii="Times New Roman"/>
          <w:b w:val="false"/>
          <w:i w:val="false"/>
          <w:color w:val="000000"/>
          <w:sz w:val="24"/>
          <w:lang w:val="pl-PL"/>
        </w:rPr>
        <w:t>twierdzenie, że produkt jest w stanie leczyć choroby, zaburzenia lub wady rozwojowe, jeżeli jest to niezgodne z prawdą;</w:t>
      </w:r>
    </w:p>
    <w:p>
      <w:pPr>
        <w:spacing w:before="26" w:after="0"/>
        <w:ind w:left="373"/>
        <w:jc w:val="left"/>
        <w:textAlignment w:val="auto"/>
      </w:pPr>
      <w:r>
        <w:rPr>
          <w:rFonts w:ascii="Times New Roman"/>
          <w:b w:val="false"/>
          <w:i w:val="false"/>
          <w:color w:val="000000"/>
          <w:sz w:val="24"/>
          <w:lang w:val="pl-PL"/>
        </w:rPr>
        <w:t xml:space="preserve">18) </w:t>
      </w:r>
      <w:r>
        <w:rPr>
          <w:rFonts w:ascii="Times New Roman"/>
          <w:b w:val="false"/>
          <w:i w:val="false"/>
          <w:color w:val="000000"/>
          <w:sz w:val="24"/>
          <w:lang w:val="pl-PL"/>
        </w:rPr>
        <w:t>przekazywanie nierzetelnych informacji dotyczących warunków rynkowych lub dostępności produktu, z zamiarem nakłonienia konsumenta do zakupu produktu na warunkach mniej korzystnych niż warunki rynkowe;</w:t>
      </w:r>
    </w:p>
    <w:p>
      <w:pPr>
        <w:spacing w:before="26" w:after="0"/>
        <w:ind w:left="373"/>
        <w:jc w:val="left"/>
        <w:textAlignment w:val="auto"/>
      </w:pPr>
      <w:r>
        <w:rPr>
          <w:rFonts w:ascii="Times New Roman"/>
          <w:b w:val="false"/>
          <w:i w:val="false"/>
          <w:color w:val="000000"/>
          <w:sz w:val="24"/>
          <w:lang w:val="pl-PL"/>
        </w:rPr>
        <w:t xml:space="preserve">19) </w:t>
      </w:r>
      <w:r>
        <w:rPr>
          <w:rFonts w:ascii="Times New Roman"/>
          <w:b w:val="false"/>
          <w:i w:val="false"/>
          <w:color w:val="000000"/>
          <w:sz w:val="24"/>
          <w:lang w:val="pl-PL"/>
        </w:rPr>
        <w:t>twierdzenie, w ramach praktyki rynkowej, że organizowany jest konkurs lub promocja z nagrodami, a następnie nieprzyznanie opisanych nagród lub ich odpowiedniego ekwiwalentu;</w:t>
      </w:r>
    </w:p>
    <w:p>
      <w:pPr>
        <w:spacing w:before="26" w:after="0"/>
        <w:ind w:left="373"/>
        <w:jc w:val="left"/>
        <w:textAlignment w:val="auto"/>
      </w:pPr>
      <w:r>
        <w:rPr>
          <w:rFonts w:ascii="Times New Roman"/>
          <w:b w:val="false"/>
          <w:i w:val="false"/>
          <w:color w:val="000000"/>
          <w:sz w:val="24"/>
          <w:lang w:val="pl-PL"/>
        </w:rPr>
        <w:t xml:space="preserve">20) </w:t>
      </w:r>
      <w:r>
        <w:rPr>
          <w:rFonts w:ascii="Times New Roman"/>
          <w:b w:val="false"/>
          <w:i w:val="false"/>
          <w:color w:val="000000"/>
          <w:sz w:val="24"/>
          <w:lang w:val="pl-PL"/>
        </w:rPr>
        <w:t>prezentowanie produktu jako "gratis", "darmowy", "bezpłatny" lub w podobny sposób, jeżeli konsument musi uiścić jakąkolwiek należność, z wyjątkiem bezpośrednich kosztów związanych z odpowiedzią na praktykę rynkową, odbiorem lub dostarczeniem produktu;</w:t>
      </w:r>
    </w:p>
    <w:p>
      <w:pPr>
        <w:spacing w:before="26" w:after="0"/>
        <w:ind w:left="373"/>
        <w:jc w:val="left"/>
        <w:textAlignment w:val="auto"/>
      </w:pPr>
      <w:r>
        <w:rPr>
          <w:rFonts w:ascii="Times New Roman"/>
          <w:b w:val="false"/>
          <w:i w:val="false"/>
          <w:color w:val="000000"/>
          <w:sz w:val="24"/>
          <w:lang w:val="pl-PL"/>
        </w:rPr>
        <w:t xml:space="preserve">21) </w:t>
      </w:r>
      <w:r>
        <w:rPr>
          <w:rFonts w:ascii="Times New Roman"/>
          <w:b w:val="false"/>
          <w:i w:val="false"/>
          <w:color w:val="000000"/>
          <w:sz w:val="24"/>
          <w:lang w:val="pl-PL"/>
        </w:rPr>
        <w:t>umieszczanie w materiałach marketingowych faktury lub podobnego dokumentu, sugerującego obowiązek zapłaty, który wywołuje u konsumenta wrażenie, że już zamówił reklamowany produkt, mimo że tego nie zrobił;</w:t>
      </w:r>
    </w:p>
    <w:p>
      <w:pPr>
        <w:spacing w:before="26" w:after="0"/>
        <w:ind w:left="373"/>
        <w:jc w:val="left"/>
        <w:textAlignment w:val="auto"/>
      </w:pPr>
      <w:r>
        <w:rPr>
          <w:rFonts w:ascii="Times New Roman"/>
          <w:b w:val="false"/>
          <w:i w:val="false"/>
          <w:color w:val="000000"/>
          <w:sz w:val="24"/>
          <w:lang w:val="pl-PL"/>
        </w:rPr>
        <w:t xml:space="preserve">22) </w:t>
      </w:r>
      <w:r>
        <w:rPr>
          <w:rFonts w:ascii="Times New Roman"/>
          <w:b w:val="false"/>
          <w:i w:val="false"/>
          <w:color w:val="000000"/>
          <w:sz w:val="24"/>
          <w:lang w:val="pl-PL"/>
        </w:rPr>
        <w:t>twierdzenie lub stwarzanie wrażenia, że sprzedawca nie działa w celu związanym z jego działalnością gospodarczą lub zawodową, lub podawanie się za konsumenta, jeżeli jest to niezgodne z prawdą;</w:t>
      </w:r>
    </w:p>
    <w:p>
      <w:pPr>
        <w:spacing w:before="26" w:after="0"/>
        <w:ind w:left="373"/>
        <w:jc w:val="left"/>
        <w:textAlignment w:val="auto"/>
      </w:pPr>
      <w:r>
        <w:rPr>
          <w:rFonts w:ascii="Times New Roman"/>
          <w:b w:val="false"/>
          <w:i w:val="false"/>
          <w:color w:val="000000"/>
          <w:sz w:val="24"/>
          <w:lang w:val="pl-PL"/>
        </w:rPr>
        <w:t xml:space="preserve">23) </w:t>
      </w:r>
      <w:r>
        <w:rPr>
          <w:rFonts w:ascii="Times New Roman"/>
          <w:b w:val="false"/>
          <w:i w:val="false"/>
          <w:color w:val="000000"/>
          <w:sz w:val="24"/>
          <w:lang w:val="pl-PL"/>
        </w:rPr>
        <w:t>wywoływanie u konsumenta wrażenia, że usługi serwisowe dotyczące danego produktu są dostępne w państwie członkowskim innym niż państwo członkowskie, w którym produkt ten został sprzedany, jeżeli jest to niezgodne z prawdą</w:t>
      </w:r>
      <w:r>
        <w:rPr>
          <w:rFonts w:ascii="Times New Roman"/>
          <w:b w:val="false"/>
          <w:i w:val="false"/>
          <w:strike/>
          <w:color w:val="e51c23"/>
          <w:sz w:val="24"/>
          <w:lang w:val="pl-PL"/>
        </w:rPr>
        <w:t>.</w:t>
      </w:r>
      <w:r>
        <w:rPr>
          <w:rFonts w:ascii="Times New Roman"/>
          <w:b w:val="false"/>
          <w:i w:val="false"/>
          <w:color w:val="569748"/>
          <w:sz w:val="24"/>
          <w:u w:val="single"/>
          <w:lang w:val="pl-PL"/>
        </w:rPr>
        <w:t>;</w:t>
      </w:r>
    </w:p>
    <w:p>
      <w:pPr>
        <w:spacing w:before="26" w:after="0"/>
        <w:ind w:left="373"/>
        <w:jc w:val="left"/>
        <w:textAlignment w:val="auto"/>
      </w:pPr>
      <w:r>
        <w:rPr>
          <w:rFonts w:ascii="Times New Roman"/>
          <w:b w:val="false"/>
          <w:i w:val="false"/>
          <w:color w:val="569748"/>
          <w:sz w:val="24"/>
          <w:u w:val="single"/>
          <w:lang w:val="pl-PL"/>
        </w:rPr>
        <w:t xml:space="preserve">24) </w:t>
      </w:r>
      <w:r>
        <w:rPr>
          <w:rFonts w:ascii="Times New Roman"/>
          <w:b w:val="false"/>
          <w:i w:val="false"/>
          <w:color w:val="569748"/>
          <w:sz w:val="24"/>
          <w:u w:val="single"/>
          <w:vertAlign w:val="superscript"/>
          <w:lang w:val="pl-PL"/>
        </w:rPr>
        <w:t>12</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odsprzedaż konsumentom biletów na wszelkiego rodzaju imprezy kulturalne lub sportowe, jeżeli przedsiębiorca nabył je z wykorzystaniem oprogramowania pozwalającego mu obchodzić środki techniczne lub przekraczać limity techniczne nałożone przez pierwotnego sprzedawcę, aby obejść ograniczenia nałożone w odniesieniu do liczby biletów, które dana osoba może kupić, lub innych zasad mających zastosowanie do zakupu biletów;</w:t>
      </w:r>
    </w:p>
    <w:p>
      <w:pPr>
        <w:spacing w:before="26" w:after="0"/>
        <w:ind w:left="373"/>
        <w:jc w:val="left"/>
        <w:textAlignment w:val="auto"/>
      </w:pPr>
      <w:r>
        <w:rPr>
          <w:rFonts w:ascii="Times New Roman"/>
          <w:b w:val="false"/>
          <w:i w:val="false"/>
          <w:color w:val="569748"/>
          <w:sz w:val="24"/>
          <w:u w:val="single"/>
          <w:lang w:val="pl-PL"/>
        </w:rPr>
        <w:t xml:space="preserve">25) </w:t>
      </w:r>
      <w:r>
        <w:rPr>
          <w:rFonts w:ascii="Times New Roman"/>
          <w:b w:val="false"/>
          <w:i w:val="false"/>
          <w:color w:val="569748"/>
          <w:sz w:val="24"/>
          <w:u w:val="single"/>
          <w:vertAlign w:val="superscript"/>
          <w:lang w:val="pl-PL"/>
        </w:rPr>
        <w:t>13</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twierdzenie przez przedsiębiorcę, który umożliwia dostęp do opinii konsumentów o produktach, że te opinie zostały zamieszczone przez konsumentów, którzy używali danego produktu lub go nabyli, mimo że przedsiębiorca ten nie podjął uzasadnionych i proporcjonalnych kroków, aby sprawdzić, czy opinie te pochodzą od tych konsumentów;</w:t>
      </w:r>
    </w:p>
    <w:p>
      <w:pPr>
        <w:spacing w:before="26" w:after="0"/>
        <w:ind w:left="373"/>
        <w:jc w:val="left"/>
        <w:textAlignment w:val="auto"/>
      </w:pPr>
      <w:r>
        <w:rPr>
          <w:rFonts w:ascii="Times New Roman"/>
          <w:b w:val="false"/>
          <w:i w:val="false"/>
          <w:color w:val="569748"/>
          <w:sz w:val="24"/>
          <w:u w:val="single"/>
          <w:lang w:val="pl-PL"/>
        </w:rPr>
        <w:t xml:space="preserve">26) </w:t>
      </w:r>
      <w:r>
        <w:rPr>
          <w:rFonts w:ascii="Times New Roman"/>
          <w:b w:val="false"/>
          <w:i w:val="false"/>
          <w:color w:val="569748"/>
          <w:sz w:val="24"/>
          <w:u w:val="single"/>
          <w:vertAlign w:val="superscript"/>
          <w:lang w:val="pl-PL"/>
        </w:rPr>
        <w:t>14</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zamieszczanie lub zlecanie zamieszczania innej osobie nieprawdziwych opinii lub rekomendacji konsumentów albo zniekształcanie opinii lub rekomendacji konsumentów w celu promowania produktów.</w:t>
      </w:r>
    </w:p>
    <w:p>
      <w:pPr>
        <w:spacing w:before="80" w:after="0"/>
        <w:ind w:left="0"/>
        <w:jc w:val="left"/>
        <w:textAlignment w:val="auto"/>
      </w:pPr>
      <w:r>
        <w:rPr>
          <w:rFonts w:ascii="Times New Roman"/>
          <w:b/>
          <w:i w:val="false"/>
          <w:color w:val="000000"/>
          <w:sz w:val="24"/>
          <w:lang w:val="pl-PL"/>
        </w:rPr>
        <w:t xml:space="preserve">Art. 8. </w:t>
      </w:r>
      <w:r>
        <w:rPr>
          <w:rFonts w:ascii="Times New Roman"/>
          <w:b/>
          <w:i w:val="false"/>
          <w:color w:val="000000"/>
          <w:sz w:val="24"/>
          <w:lang w:val="pl-PL"/>
        </w:rPr>
        <w:t xml:space="preserve"> [Przesłanki uznania praktyki rynkowej za agresywną]</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Praktykę rynkową uznaje się za agresywną, jeżeli przez niedopuszczalny nacisk w znaczny sposób ogranicza lub może ograniczyć swobodę wyboru przeciętnego konsumenta lub jego zachowanie względem produktu, i tym samym powoduje lub może powodować podjęcie przez niego decyzji dotyczącej umowy, której inaczej by nie podjął.</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 niedopuszczalny nacisk uważa się każdy rodzaj wykorzystania przewagi wobec konsumenta, w szczególności użycie lub groźbę użycia przymusu fizycznego lub psychicznego, w sposób znacznie ograniczający zdolność przeciętnego konsumenta do podjęcia świadomej decyzji dotyczącej umowy.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ocenie, czy praktyka rynkowa jest agresywna, należy uwzględnić wszystkie jej cechy i okoliczności wprowadzenia produktu na rynek, a w szczególności:</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czas, miejsce, rodzaj lub uciążliwość danej praktyki;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celowe wykorzystanie przez przedsiębiorcę przymusowego położenia konsumenta lub innych okoliczności na tyle poważnych, że ograniczają one zdolność konsumenta do podjęcia świadomej decyzji dotyczącej umowy;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uciążliwe lub niewspółmierne bariery pozaumowne, które przedsiębiorca wykorzystuje, aby przeszkodzić konsumentowi w wykonaniu jego praw umownych, w tym prawa do odstąpienia i wypowiedzenia umowy lub do rezygnacji na rzecz innego produktu lub przedsiębiorcy;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groźby podjęcia działania niezgodnego z prawem lub użycie obraźliwych sformułowań bądź sposobów zachowania.</w:t>
      </w:r>
    </w:p>
    <w:p>
      <w:pPr>
        <w:spacing w:before="80" w:after="0"/>
        <w:ind w:left="0"/>
        <w:jc w:val="left"/>
        <w:textAlignment w:val="auto"/>
      </w:pPr>
      <w:r>
        <w:rPr>
          <w:rFonts w:ascii="Times New Roman"/>
          <w:b/>
          <w:i w:val="false"/>
          <w:color w:val="000000"/>
          <w:sz w:val="24"/>
          <w:lang w:val="pl-PL"/>
        </w:rPr>
        <w:t xml:space="preserve">Art. 9. </w:t>
      </w:r>
      <w:r>
        <w:rPr>
          <w:rFonts w:ascii="Times New Roman"/>
          <w:b/>
          <w:i w:val="false"/>
          <w:color w:val="000000"/>
          <w:sz w:val="24"/>
          <w:lang w:val="pl-PL"/>
        </w:rPr>
        <w:t xml:space="preserve"> [Czarna lista agresywnych praktyk rynkowych]</w:t>
      </w:r>
    </w:p>
    <w:p>
      <w:pPr>
        <w:spacing w:after="0"/>
        <w:ind w:left="0"/>
        <w:jc w:val="left"/>
        <w:textAlignment w:val="auto"/>
      </w:pPr>
      <w:r>
        <w:rPr>
          <w:rFonts w:ascii="Times New Roman"/>
          <w:b w:val="false"/>
          <w:i w:val="false"/>
          <w:color w:val="000000"/>
          <w:sz w:val="24"/>
          <w:lang w:val="pl-PL"/>
        </w:rPr>
        <w:t>Nieuczciwymi praktykami rynkowymi w każdych okolicznościach są następujące agresywne praktyki rynkowe:</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wywoływanie wrażenia, że konsument nie może opuścić pomieszczeń przedsiębiorcy bez zawarcia umowy;</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składanie wizyt w miejscu zamieszkania konsumenta, nawet jeżeli nie przebywa on tam z zamiarem stałego pobytu, ignorując prośbę konsumenta o jego opuszczenie lub zaprzestanie takich wizyt, z wyjątkiem przypadków egzekwowania zobowiązań umownych, w zakresie dozwolonym przez obowiązujące przepisy;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uciążliwe i niewywołane działaniem albo zaniechaniem konsumenta nakłanianie do nabycia produktów przez telefon, faks, pocztę elektroniczną lub inne środki porozumiewania się na odległość, z wyjątkiem przypadków egzekwowania zobowiązań umownych, w zakresie dozwolonym przez obowiązujące przepisy;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żądanie od konsumenta zgłaszającego roszczenie, w związku z umową ubezpieczenia, przedstawienia dokumentów, których w sposób racjonalny nie można uznać za istotne dla ustalenia zasadności roszczenia, lub nieudzielanie odpowiedzi na stosowną korespondencję, w celu nakłonienia konsumenta do odstąpienia od zamiaru wykonania jego praw wynikających z umowy ubezpieczenia;</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umieszczanie w reklamie bezpośredniego wezwania dzieci do nabycia reklamowanych produktów lub do nakłonienia rodziców lub innych osób dorosłych do kupienia im reklamowanych produktów;</w:t>
      </w:r>
    </w:p>
    <w:p>
      <w:pPr>
        <w:spacing w:before="26" w:after="0"/>
        <w:ind w:left="373"/>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żądanie natychmiastowej lub odroczonej zapłaty za produkty bądź zwrotu lub przechowania produktów, które zostały dostarczone przez przedsiębiorcę, ale nie zostały zamówione przez konsumenta;</w:t>
      </w:r>
    </w:p>
    <w:p>
      <w:pPr>
        <w:spacing w:before="26" w:after="0"/>
        <w:ind w:left="373"/>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informowanie konsumenta o tym, że jeżeli nie nabędzie produktu, przedsiębiorcy może grozić utrata pracy lub środków do życia;</w:t>
      </w:r>
    </w:p>
    <w:p>
      <w:pPr>
        <w:spacing w:before="26" w:after="0"/>
        <w:ind w:left="373"/>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wywoływanie wrażenia, że konsument już uzyskał, uzyska bezwarunkowo lub po wykonaniu określonej czynności nagrodę lub inną porównywalną korzyść, gdy w rzeczywistości nagroda lub inna porównywalna korzyść nie istnieje lub uzyskanie nagrody lub innej porównywalnej korzyści uzależnione jest od wpłacenia przez konsumenta określonej kwoty pieniędzy lub poniesienia innych kosztów.</w:t>
      </w:r>
    </w:p>
    <w:p>
      <w:pPr>
        <w:spacing w:before="80" w:after="0"/>
        <w:ind w:left="0"/>
        <w:jc w:val="left"/>
        <w:textAlignment w:val="auto"/>
      </w:pPr>
      <w:r>
        <w:rPr>
          <w:rFonts w:ascii="Times New Roman"/>
          <w:b/>
          <w:i w:val="false"/>
          <w:color w:val="000000"/>
          <w:sz w:val="24"/>
          <w:lang w:val="pl-PL"/>
        </w:rPr>
        <w:t xml:space="preserve">Art. 10. </w:t>
      </w:r>
      <w:r>
        <w:rPr>
          <w:rFonts w:ascii="Times New Roman"/>
          <w:b/>
          <w:i w:val="false"/>
          <w:color w:val="000000"/>
          <w:sz w:val="24"/>
          <w:lang w:val="pl-PL"/>
        </w:rPr>
        <w:t xml:space="preserve"> [System argentyński jako nieuczciwa praktyka rynkowa]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Nieuczciwą praktyką rynkową jest prowadzenie działalności w formie systemu konsorcyjnego.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Nieuczciwą praktyką rynkową jest również organizowanie grupy z udziałem konsumentów w celu finansowania zakupu w systemie konsorcyjnym.</w:t>
      </w:r>
    </w:p>
    <w:p>
      <w:pPr>
        <w:spacing w:before="80" w:after="0"/>
        <w:ind w:left="0"/>
        <w:jc w:val="left"/>
        <w:textAlignment w:val="auto"/>
      </w:pPr>
      <w:r>
        <w:rPr>
          <w:rFonts w:ascii="Times New Roman"/>
          <w:b/>
          <w:i w:val="false"/>
          <w:color w:val="000000"/>
          <w:sz w:val="24"/>
          <w:lang w:val="pl-PL"/>
        </w:rPr>
        <w:t xml:space="preserve">Art. 11. </w:t>
      </w:r>
      <w:r>
        <w:rPr>
          <w:rFonts w:ascii="Times New Roman"/>
          <w:b/>
          <w:i w:val="false"/>
          <w:color w:val="000000"/>
          <w:sz w:val="24"/>
          <w:lang w:val="pl-PL"/>
        </w:rPr>
        <w:t xml:space="preserve"> [Stosowanie kodeksu dobrych praktyk jako nieuczciwa praktyka rynkowa]</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Nieuczciwą praktyką rynkową jest stosowanie kodeksu dobrych praktyk, którego postanowienia są sprzeczne z prawem.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Nieuczciwej praktyki rynkowej dopuszcza się twórca kodeksu dobrych praktyk, którego postanowienia są sprzeczne z prawem.</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wątpliwości za twórcę kodeksu dobrych praktyk uważa się każdy podmiot, w szczególności przedsiębiorcę lub związek przedsiębiorców, odpowiedzialny za przygotowanie i wprowadzenie w życie lub nadzór nad przestrzeganiem kodeksu dobrych praktyk.</w:t>
      </w:r>
    </w:p>
    <w:p>
      <w:pPr>
        <w:spacing w:before="89" w:after="0"/>
        <w:ind w:left="0"/>
        <w:jc w:val="center"/>
        <w:textAlignment w:val="auto"/>
      </w:pPr>
      <w:r>
        <w:rPr>
          <w:rFonts w:ascii="Times New Roman"/>
          <w:b/>
          <w:i w:val="false"/>
          <w:color w:val="000000"/>
          <w:sz w:val="24"/>
          <w:lang w:val="pl-PL"/>
        </w:rPr>
        <w:t>Rozdział 3</w:t>
      </w:r>
    </w:p>
    <w:p>
      <w:pPr>
        <w:spacing w:before="25" w:after="0"/>
        <w:ind w:left="0"/>
        <w:jc w:val="center"/>
        <w:textAlignment w:val="auto"/>
      </w:pPr>
      <w:r>
        <w:rPr>
          <w:rFonts w:ascii="Times New Roman"/>
          <w:b/>
          <w:i w:val="false"/>
          <w:color w:val="000000"/>
          <w:sz w:val="24"/>
          <w:lang w:val="pl-PL"/>
        </w:rPr>
        <w:t>Odpowiedzialność cywilna</w:t>
      </w:r>
    </w:p>
    <w:p>
      <w:pPr>
        <w:spacing w:before="80" w:after="0"/>
        <w:ind w:left="0"/>
        <w:jc w:val="left"/>
        <w:textAlignment w:val="auto"/>
      </w:pPr>
      <w:r>
        <w:rPr>
          <w:rFonts w:ascii="Times New Roman"/>
          <w:b/>
          <w:i w:val="false"/>
          <w:color w:val="000000"/>
          <w:sz w:val="24"/>
          <w:lang w:val="pl-PL"/>
        </w:rPr>
        <w:t xml:space="preserve">Art. 12. </w:t>
      </w:r>
      <w:r>
        <w:rPr>
          <w:rFonts w:ascii="Times New Roman"/>
          <w:b/>
          <w:i w:val="false"/>
          <w:color w:val="000000"/>
          <w:sz w:val="24"/>
          <w:lang w:val="pl-PL"/>
        </w:rPr>
        <w:t xml:space="preserve"> [Roszczenia przysługujące konsumentowi w razie dokonania nieuczciwej praktyki rynkowej]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W razie dokonania nieuczciwej praktyki rynkowej konsument, którego interes został zagrożony lub naruszony, może żądać: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zaniechania tej praktyki;</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usunięcia skutków tej praktyki;</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złożenia jednokrotnego lub wielokrotnego oświadczenia odpowiedniej treści i w odpowiedniej formie;</w:t>
      </w:r>
    </w:p>
    <w:p>
      <w:pPr>
        <w:spacing w:before="26" w:after="0"/>
        <w:ind w:left="373"/>
        <w:jc w:val="left"/>
        <w:textAlignment w:val="auto"/>
      </w:pPr>
      <w:r>
        <w:rPr>
          <w:rFonts w:ascii="Times New Roman"/>
          <w:b w:val="false"/>
          <w:i w:val="false"/>
          <w:color w:val="569748"/>
          <w:sz w:val="24"/>
          <w:u w:val="single"/>
          <w:lang w:val="pl-PL"/>
        </w:rPr>
        <w:t xml:space="preserve">3a) </w:t>
      </w:r>
      <w:r>
        <w:rPr>
          <w:rFonts w:ascii="Times New Roman"/>
          <w:b w:val="false"/>
          <w:i w:val="false"/>
          <w:color w:val="569748"/>
          <w:sz w:val="24"/>
          <w:u w:val="single"/>
          <w:vertAlign w:val="superscript"/>
          <w:lang w:val="pl-PL"/>
        </w:rPr>
        <w:t>15</w:t>
      </w:r>
      <w:r>
        <w:rPr>
          <w:rFonts w:ascii="Times New Roman"/>
          <w:b w:val="false"/>
          <w:i w:val="false"/>
          <w:color w:val="569748"/>
          <w:sz w:val="24"/>
          <w:u w:val="single"/>
          <w:lang w:val="pl-PL"/>
        </w:rPr>
        <w:t xml:space="preserve"> </w:t>
      </w:r>
      <w:r>
        <w:rPr>
          <w:rFonts w:ascii="Times New Roman"/>
          <w:b w:val="false"/>
          <w:i w:val="false"/>
          <w:color w:val="569748"/>
          <w:sz w:val="24"/>
          <w:u w:val="single"/>
          <w:lang w:val="pl-PL"/>
        </w:rPr>
        <w:t xml:space="preserve"> obniżenia ceny;</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naprawienia wyrządzonej szkody na zasadach ogólnych, w szczególności żądania unieważnienia umowy z obowiązkiem wzajemnego zwrotu świadczeń oraz zwrotu przez przedsiębiorcę kosztów związanych z nabyciem produktu;</w:t>
      </w:r>
    </w:p>
    <w:p>
      <w:pPr>
        <w:spacing w:before="26" w:after="0"/>
        <w:ind w:left="373"/>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zasądzenia odpowiedniej sumy pieniężnej na określony cel społeczny związany ze wspieraniem kultury polskiej, ochroną dziedzictwa narodowego lub ochroną konsumentów.</w:t>
      </w:r>
    </w:p>
    <w:p>
      <w:pPr>
        <w:spacing w:after="0"/>
        <w:ind w:left="0"/>
        <w:jc w:val="left"/>
        <w:textAlignment w:val="auto"/>
      </w:pP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roszczeniami, o których mowa w ust. 1 pkt 1, 3 i 5, mogą również wystąpić:</w:t>
      </w:r>
    </w:p>
    <w:p>
      <w:pPr>
        <w:spacing w:before="26"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Rzecznik Praw Obywatelskich;</w:t>
      </w:r>
    </w:p>
    <w:p>
      <w:pPr>
        <w:spacing w:before="26"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Rzecznik Finansowy;</w:t>
      </w:r>
    </w:p>
    <w:p>
      <w:pPr>
        <w:spacing w:before="26"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krajowa lub regionalna organizacja, której celem statutowym jest ochrona interesów konsumentów;</w:t>
      </w:r>
    </w:p>
    <w:p>
      <w:pPr>
        <w:spacing w:before="26"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powiatowy (miejski) rzecznik konsumentów.</w:t>
      </w:r>
    </w:p>
    <w:p>
      <w:pPr>
        <w:spacing w:before="80" w:after="0"/>
        <w:ind w:left="0"/>
        <w:jc w:val="left"/>
        <w:textAlignment w:val="auto"/>
      </w:pPr>
      <w:r>
        <w:rPr>
          <w:rFonts w:ascii="Times New Roman"/>
          <w:b/>
          <w:i w:val="false"/>
          <w:color w:val="000000"/>
          <w:sz w:val="24"/>
          <w:lang w:val="pl-PL"/>
        </w:rPr>
        <w:t xml:space="preserve">Art. 13. </w:t>
      </w:r>
      <w:r>
        <w:rPr>
          <w:rFonts w:ascii="Times New Roman"/>
          <w:b/>
          <w:i w:val="false"/>
          <w:color w:val="000000"/>
          <w:sz w:val="24"/>
          <w:lang w:val="pl-PL"/>
        </w:rPr>
        <w:t xml:space="preserve"> [Ciężar dowodu]</w:t>
      </w:r>
    </w:p>
    <w:p>
      <w:pPr>
        <w:spacing w:after="0"/>
        <w:ind w:left="0"/>
        <w:jc w:val="left"/>
        <w:textAlignment w:val="auto"/>
      </w:pPr>
      <w:r>
        <w:rPr>
          <w:rFonts w:ascii="Times New Roman"/>
          <w:b w:val="false"/>
          <w:i w:val="false"/>
          <w:color w:val="000000"/>
          <w:sz w:val="24"/>
          <w:lang w:val="pl-PL"/>
        </w:rPr>
        <w:t>Ciężar dowodu, że dana praktyka rynkowa nie stanowi nieuczciwej praktyki wprowadzającej w błąd spoczywa na przedsiębiorcy, któremu zarzuca się stosowanie nieuczciwej praktyki rynkowej.</w:t>
      </w:r>
    </w:p>
    <w:p>
      <w:pPr>
        <w:spacing w:before="80" w:after="0"/>
        <w:ind w:left="0"/>
        <w:jc w:val="left"/>
        <w:textAlignment w:val="auto"/>
      </w:pPr>
      <w:r>
        <w:rPr>
          <w:rFonts w:ascii="Times New Roman"/>
          <w:b/>
          <w:i w:val="false"/>
          <w:color w:val="000000"/>
          <w:sz w:val="24"/>
          <w:lang w:val="pl-PL"/>
        </w:rPr>
        <w:t xml:space="preserve">Art. 14. </w:t>
      </w:r>
      <w:r>
        <w:rPr>
          <w:rFonts w:ascii="Times New Roman"/>
          <w:b/>
          <w:i w:val="false"/>
          <w:color w:val="000000"/>
          <w:sz w:val="24"/>
          <w:lang w:val="pl-PL"/>
        </w:rPr>
        <w:t xml:space="preserve"> [Przedawnienie roszczeń z tytułu nieuczciwej praktyki rynkowej]</w:t>
      </w:r>
    </w:p>
    <w:p>
      <w:pPr>
        <w:spacing w:after="0"/>
        <w:ind w:left="0"/>
        <w:jc w:val="left"/>
        <w:textAlignment w:val="auto"/>
      </w:pPr>
      <w:r>
        <w:rPr>
          <w:rFonts w:ascii="Times New Roman"/>
          <w:b w:val="false"/>
          <w:i w:val="false"/>
          <w:color w:val="000000"/>
          <w:sz w:val="24"/>
          <w:lang w:val="pl-PL"/>
        </w:rPr>
        <w:t>Roszczenia z tytułu nieuczciwej praktyki rynkowej, o których mowa w art. 12 ust. 1 pkt 1-3 i 5, ulegają przedawnieniu z upływem lat trzech. Bieg przedawnienia rozpoczyna się oddzielnie, co do każdego naruszenia.</w:t>
      </w:r>
    </w:p>
    <w:p>
      <w:pPr>
        <w:spacing w:before="89" w:after="0"/>
        <w:ind w:left="0"/>
        <w:jc w:val="center"/>
        <w:textAlignment w:val="auto"/>
      </w:pPr>
      <w:r>
        <w:rPr>
          <w:rFonts w:ascii="Times New Roman"/>
          <w:b/>
          <w:i w:val="false"/>
          <w:color w:val="000000"/>
          <w:sz w:val="24"/>
          <w:lang w:val="pl-PL"/>
        </w:rPr>
        <w:t>Rozdział 4</w:t>
      </w:r>
    </w:p>
    <w:p>
      <w:pPr>
        <w:spacing w:before="25" w:after="0"/>
        <w:ind w:left="0"/>
        <w:jc w:val="center"/>
        <w:textAlignment w:val="auto"/>
      </w:pPr>
      <w:r>
        <w:rPr>
          <w:rFonts w:ascii="Times New Roman"/>
          <w:b/>
          <w:i w:val="false"/>
          <w:color w:val="000000"/>
          <w:sz w:val="24"/>
          <w:lang w:val="pl-PL"/>
        </w:rPr>
        <w:t>Przepisy karne</w:t>
      </w:r>
    </w:p>
    <w:p>
      <w:pPr>
        <w:spacing w:before="80" w:after="0"/>
        <w:ind w:left="0"/>
        <w:jc w:val="left"/>
        <w:textAlignment w:val="auto"/>
      </w:pPr>
      <w:r>
        <w:rPr>
          <w:rFonts w:ascii="Times New Roman"/>
          <w:b/>
          <w:i w:val="false"/>
          <w:color w:val="000000"/>
          <w:sz w:val="24"/>
          <w:lang w:val="pl-PL"/>
        </w:rPr>
        <w:t xml:space="preserve">Art. 15. </w:t>
      </w:r>
      <w:r>
        <w:rPr>
          <w:rFonts w:ascii="Times New Roman"/>
          <w:b/>
          <w:i w:val="false"/>
          <w:color w:val="000000"/>
          <w:sz w:val="24"/>
          <w:lang w:val="pl-PL"/>
        </w:rPr>
        <w:t xml:space="preserve"> [Odpowiedzialność karna za stosowanie agresywnej praktyki rynkowej]</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stosuje agresywną praktykę rynkową, podlega karze grzywny.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 xml:space="preserve">W sprawach o czyny, o których mowa w ust. 1, orzekanie następuje w trybie przepisów </w:t>
      </w:r>
      <w:r>
        <w:rPr>
          <w:rFonts w:ascii="Times New Roman"/>
          <w:b w:val="false"/>
          <w:i w:val="false"/>
          <w:color w:val="1b1b1b"/>
          <w:sz w:val="24"/>
          <w:lang w:val="pl-PL"/>
        </w:rPr>
        <w:t>ustawy</w:t>
      </w:r>
      <w:r>
        <w:rPr>
          <w:rFonts w:ascii="Times New Roman"/>
          <w:b w:val="false"/>
          <w:i w:val="false"/>
          <w:color w:val="000000"/>
          <w:sz w:val="24"/>
          <w:lang w:val="pl-PL"/>
        </w:rPr>
        <w:t xml:space="preserve"> z dnia 24 sierpnia 2001 r. - Kodeks postępowania w sprawach o wykroczenia (Dz. U. z 2016 r. poz. 1713, z późn. zm.).</w:t>
      </w:r>
    </w:p>
    <w:p>
      <w:pPr>
        <w:spacing w:before="80" w:after="0"/>
        <w:ind w:left="0"/>
        <w:jc w:val="left"/>
        <w:textAlignment w:val="auto"/>
      </w:pPr>
      <w:r>
        <w:rPr>
          <w:rFonts w:ascii="Times New Roman"/>
          <w:b/>
          <w:i w:val="false"/>
          <w:color w:val="000000"/>
          <w:sz w:val="24"/>
          <w:lang w:val="pl-PL"/>
        </w:rPr>
        <w:t xml:space="preserve">Art. 16. </w:t>
      </w:r>
      <w:r>
        <w:rPr>
          <w:rFonts w:ascii="Times New Roman"/>
          <w:b/>
          <w:i w:val="false"/>
          <w:color w:val="000000"/>
          <w:sz w:val="24"/>
          <w:lang w:val="pl-PL"/>
        </w:rPr>
        <w:t xml:space="preserve"> [Odpowiedzialność karna za stosowanie systemu argentyńskiego]</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Kto stosuje nieuczciwą praktykę rynkową polegającą na zarządzaniu mieniem gromadzonym w ramach grupy z udziałem konsumentów w celu finansowania zakupu produktu w systemie konsorcyjnym, podlega karze pozbawienia wolności od 3 miesięcy do lat 5.</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Tej samej karze podlega, kto stosuje nieuczciwą praktykę rynkową polegającą na organizowaniu grupy konsumentów, o której mowa w ust. 1.</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wartość mienia zgromadzonego w celu finansowania zakupów w systemie konsorcyjnym jest wielka, sprawca czynu określonego w ust. 1 lub 2, podlega karze pozbawienia wolności od 6 miesięcy do lat 8.</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Karom określonym w ust. 1-3 podlega także ten, kto dopuszcza się czynów w nich określonych, działając w imieniu lub w interesie przedsiębiorcy prowadzącego działalność gospodarczą określoną w art. 10 ust. 1 lub 2.</w:t>
      </w:r>
    </w:p>
    <w:p>
      <w:pPr>
        <w:spacing w:before="80" w:after="0"/>
        <w:ind w:left="0"/>
        <w:jc w:val="left"/>
        <w:textAlignment w:val="auto"/>
      </w:pPr>
      <w:r>
        <w:rPr>
          <w:rFonts w:ascii="Times New Roman"/>
          <w:b/>
          <w:i w:val="false"/>
          <w:color w:val="000000"/>
          <w:sz w:val="24"/>
          <w:lang w:val="pl-PL"/>
        </w:rPr>
        <w:t xml:space="preserve">Art. 17. </w:t>
      </w:r>
      <w:r>
        <w:rPr>
          <w:rFonts w:ascii="Times New Roman"/>
          <w:b/>
          <w:i w:val="false"/>
          <w:color w:val="000000"/>
          <w:sz w:val="24"/>
          <w:lang w:val="pl-PL"/>
        </w:rPr>
        <w:t xml:space="preserve"> [Postępowanie karne z tytułu stosowania nieuczciwych praktyk rynkowych]</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Ściganie przewidzianych w ustawie przestępstw następuje na wniosek pokrzywdzonego, a wykroczenia na żądanie pokrzywdzonego.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 wnioskiem o ściganie przestępstw określonych w art. 16 mogą wystąpić także podmioty, o których mowa w art. 12 ust. 2.</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Z żądaniem ścigania wykroczenia określonego w art. 15 mogą wystąpić także podmioty, o których mowa w art. 12 ust. 2.</w:t>
      </w:r>
    </w:p>
    <w:p>
      <w:pPr>
        <w:spacing w:before="89" w:after="0"/>
        <w:ind w:left="0"/>
        <w:jc w:val="center"/>
        <w:textAlignment w:val="auto"/>
      </w:pPr>
      <w:r>
        <w:rPr>
          <w:rFonts w:ascii="Times New Roman"/>
          <w:b/>
          <w:i w:val="false"/>
          <w:color w:val="000000"/>
          <w:sz w:val="24"/>
          <w:lang w:val="pl-PL"/>
        </w:rPr>
        <w:t>Rozdział 5</w:t>
      </w:r>
    </w:p>
    <w:p>
      <w:pPr>
        <w:spacing w:before="25" w:after="0"/>
        <w:ind w:left="0"/>
        <w:jc w:val="center"/>
        <w:textAlignment w:val="auto"/>
      </w:pPr>
      <w:r>
        <w:rPr>
          <w:rFonts w:ascii="Times New Roman"/>
          <w:b/>
          <w:i w:val="false"/>
          <w:color w:val="000000"/>
          <w:sz w:val="24"/>
          <w:lang w:val="pl-PL"/>
        </w:rPr>
        <w:t>Zmiany w przepisach obowiązujących, przepis przejściowy i końcowy</w:t>
      </w:r>
    </w:p>
    <w:p>
      <w:pPr>
        <w:spacing w:before="80" w:after="0"/>
        <w:ind w:left="0"/>
        <w:jc w:val="left"/>
        <w:textAlignment w:val="auto"/>
      </w:pPr>
      <w:r>
        <w:rPr>
          <w:rFonts w:ascii="Times New Roman"/>
          <w:b/>
          <w:i w:val="false"/>
          <w:color w:val="000000"/>
          <w:sz w:val="24"/>
          <w:lang w:val="pl-PL"/>
        </w:rPr>
        <w:t xml:space="preserve">Art. 18.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kwietnia 1993 r. o zwalczaniu nieuczciwej konkurencji (Dz. U. z 2003 r. Nr 153, poz. 1503, z późn. zm.) wprowadza się następujące zmiany: (zmiany pominięte).</w:t>
      </w:r>
    </w:p>
    <w:p>
      <w:pPr>
        <w:spacing w:before="80" w:after="0"/>
        <w:ind w:left="0"/>
        <w:jc w:val="left"/>
        <w:textAlignment w:val="auto"/>
      </w:pPr>
      <w:r>
        <w:rPr>
          <w:rFonts w:ascii="Times New Roman"/>
          <w:b/>
          <w:i w:val="false"/>
          <w:color w:val="000000"/>
          <w:sz w:val="24"/>
          <w:lang w:val="pl-PL"/>
        </w:rPr>
        <w:t xml:space="preserve">Art. 19.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22 maja 2003 r. o nadzorze ubezpieczeniowym i emerytalnym oraz Rzeczniku Ubezpieczonych (Dz. U. Nr 124, poz. 1153, z późn. zm.) w </w:t>
      </w:r>
      <w:r>
        <w:rPr>
          <w:rFonts w:ascii="Times New Roman"/>
          <w:b w:val="false"/>
          <w:i w:val="false"/>
          <w:color w:val="1b1b1b"/>
          <w:sz w:val="24"/>
          <w:lang w:val="pl-PL"/>
        </w:rPr>
        <w:t>art. 26</w:t>
      </w:r>
      <w:r>
        <w:rPr>
          <w:rFonts w:ascii="Times New Roman"/>
          <w:b w:val="false"/>
          <w:i w:val="false"/>
          <w:color w:val="000000"/>
          <w:sz w:val="24"/>
          <w:lang w:val="pl-PL"/>
        </w:rPr>
        <w:t>: (zmiany pominięte).</w:t>
      </w:r>
    </w:p>
    <w:p>
      <w:pPr>
        <w:spacing w:before="80" w:after="0"/>
        <w:ind w:left="0"/>
        <w:jc w:val="left"/>
        <w:textAlignment w:val="auto"/>
      </w:pPr>
      <w:r>
        <w:rPr>
          <w:rFonts w:ascii="Times New Roman"/>
          <w:b/>
          <w:i w:val="false"/>
          <w:color w:val="000000"/>
          <w:sz w:val="24"/>
          <w:lang w:val="pl-PL"/>
        </w:rPr>
        <w:t xml:space="preserve">Art. 20. </w:t>
      </w:r>
    </w:p>
    <w:p>
      <w:pPr>
        <w:spacing w:after="0"/>
        <w:ind w:left="0"/>
        <w:jc w:val="left"/>
        <w:textAlignment w:val="auto"/>
      </w:pPr>
      <w:r>
        <w:rPr>
          <w:rFonts w:ascii="Times New Roman"/>
          <w:b w:val="false"/>
          <w:i w:val="false"/>
          <w:color w:val="000000"/>
          <w:sz w:val="24"/>
          <w:lang w:val="pl-PL"/>
        </w:rPr>
        <w:t xml:space="preserve">W </w:t>
      </w:r>
      <w:r>
        <w:rPr>
          <w:rFonts w:ascii="Times New Roman"/>
          <w:b w:val="false"/>
          <w:i w:val="false"/>
          <w:color w:val="1b1b1b"/>
          <w:sz w:val="24"/>
          <w:lang w:val="pl-PL"/>
        </w:rPr>
        <w:t>ustawie</w:t>
      </w:r>
      <w:r>
        <w:rPr>
          <w:rFonts w:ascii="Times New Roman"/>
          <w:b w:val="false"/>
          <w:i w:val="false"/>
          <w:color w:val="000000"/>
          <w:sz w:val="24"/>
          <w:lang w:val="pl-PL"/>
        </w:rPr>
        <w:t xml:space="preserve"> z dnia 16 lutego 2007 r. o ochronie konkurencji i konsumentów (Dz. U. Nr 50, poz. 331 i Nr 99, poz. 660) wprowadza się następujące zmiany: (zmiany pominięte).</w:t>
      </w:r>
    </w:p>
    <w:p>
      <w:pPr>
        <w:spacing w:before="80" w:after="0"/>
        <w:ind w:left="0"/>
        <w:jc w:val="left"/>
        <w:textAlignment w:val="auto"/>
      </w:pPr>
      <w:r>
        <w:rPr>
          <w:rFonts w:ascii="Times New Roman"/>
          <w:b/>
          <w:i w:val="false"/>
          <w:color w:val="000000"/>
          <w:sz w:val="24"/>
          <w:lang w:val="pl-PL"/>
        </w:rPr>
        <w:t xml:space="preserve">Art. 21. </w:t>
      </w:r>
    </w:p>
    <w:p>
      <w:pPr>
        <w:spacing w:after="0"/>
        <w:ind w:left="0"/>
        <w:jc w:val="left"/>
        <w:textAlignment w:val="auto"/>
      </w:pPr>
      <w:r>
        <w:rPr>
          <w:rFonts w:ascii="Times New Roman"/>
          <w:b w:val="false"/>
          <w:i w:val="false"/>
          <w:color w:val="000000"/>
          <w:sz w:val="24"/>
          <w:lang w:val="pl-PL"/>
        </w:rPr>
        <w:t>Ustawa wchodzi w życie po upływie 3 miesięcy od dnia ogłoszenia.</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xml:space="preserve"> Niniejsza ustawa dokonuje w zakresie swojej regulacji wdrożenia </w:t>
      </w:r>
      <w:r>
        <w:rPr>
          <w:rFonts w:ascii="Times New Roman"/>
          <w:b w:val="false"/>
          <w:i w:val="false"/>
          <w:color w:val="1b1b1b"/>
          <w:sz w:val="24"/>
          <w:lang w:val="pl-PL"/>
        </w:rPr>
        <w:t>dyrektywy</w:t>
      </w:r>
      <w:r>
        <w:rPr>
          <w:rFonts w:ascii="Times New Roman"/>
          <w:b w:val="false"/>
          <w:i w:val="false"/>
          <w:color w:val="000000"/>
          <w:sz w:val="24"/>
          <w:lang w:val="pl-PL"/>
        </w:rPr>
        <w:t xml:space="preserve"> 2005/29/WE Parlamentu Europejskiego i Rady z dnia 11 maja 2005 r. dotyczącej nieuczciwych praktyk handlowych stosowanych przez przedsiębiorstwa wobec konsumentów na rynku wewnętrznym oraz zmieniającej dyrektywę Rady 84/450/EWG, dyrektywy 97/7/WE, 98/27/WE, 2002/65/WE Parlamentu Europejskiego i Rady oraz rozporządzenie (WE) nr 2006/2004 Parlamentu Europejskiego i Rady ("Dyrektywa o nieuczciwych praktykach handlowych") (Dz. Urz. UE L 149 z 11.06.2005, str. 22).</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Art. 2 pkt 3 zmieniony przez </w:t>
      </w:r>
      <w:r>
        <w:rPr>
          <w:rFonts w:ascii="Times New Roman"/>
          <w:b w:val="false"/>
          <w:i w:val="false"/>
          <w:color w:val="1b1b1b"/>
          <w:sz w:val="24"/>
          <w:lang w:val="pl-PL"/>
        </w:rPr>
        <w:t>art. 5 pkt 1 lit. a</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3</w:t>
      </w:r>
      <w:r>
        <w:rPr>
          <w:rFonts w:ascii="Times New Roman"/>
          <w:b w:val="false"/>
          <w:i w:val="false"/>
          <w:color w:val="000000"/>
          <w:sz w:val="24"/>
          <w:lang w:val="pl-PL"/>
        </w:rPr>
        <w:t xml:space="preserve"> Art. 2 pkt 11 dodany przez </w:t>
      </w:r>
      <w:r>
        <w:rPr>
          <w:rFonts w:ascii="Times New Roman"/>
          <w:b w:val="false"/>
          <w:i w:val="false"/>
          <w:color w:val="1b1b1b"/>
          <w:sz w:val="24"/>
          <w:lang w:val="pl-PL"/>
        </w:rPr>
        <w:t>art. 5 pkt 1 lit. b</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4</w:t>
      </w:r>
      <w:r>
        <w:rPr>
          <w:rFonts w:ascii="Times New Roman"/>
          <w:b w:val="false"/>
          <w:i w:val="false"/>
          <w:color w:val="000000"/>
          <w:sz w:val="24"/>
          <w:lang w:val="pl-PL"/>
        </w:rPr>
        <w:t xml:space="preserve"> Art. 2 pkt 12 dodany przez </w:t>
      </w:r>
      <w:r>
        <w:rPr>
          <w:rFonts w:ascii="Times New Roman"/>
          <w:b w:val="false"/>
          <w:i w:val="false"/>
          <w:color w:val="1b1b1b"/>
          <w:sz w:val="24"/>
          <w:lang w:val="pl-PL"/>
        </w:rPr>
        <w:t>art. 5 pkt 1 lit. b</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5</w:t>
      </w:r>
      <w:r>
        <w:rPr>
          <w:rFonts w:ascii="Times New Roman"/>
          <w:b w:val="false"/>
          <w:i w:val="false"/>
          <w:color w:val="000000"/>
          <w:sz w:val="24"/>
          <w:lang w:val="pl-PL"/>
        </w:rPr>
        <w:t xml:space="preserve"> Art. 5 ust. 2 pkt 5 dodany przez </w:t>
      </w:r>
      <w:r>
        <w:rPr>
          <w:rFonts w:ascii="Times New Roman"/>
          <w:b w:val="false"/>
          <w:i w:val="false"/>
          <w:color w:val="1b1b1b"/>
          <w:sz w:val="24"/>
          <w:lang w:val="pl-PL"/>
        </w:rPr>
        <w:t>art. 5 pkt 2</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6</w:t>
      </w:r>
      <w:r>
        <w:rPr>
          <w:rFonts w:ascii="Times New Roman"/>
          <w:b w:val="false"/>
          <w:i w:val="false"/>
          <w:color w:val="000000"/>
          <w:sz w:val="24"/>
          <w:lang w:val="pl-PL"/>
        </w:rPr>
        <w:t xml:space="preserve"> Art. 6 ust. 4 pkt 4 zmieniony przez </w:t>
      </w:r>
      <w:r>
        <w:rPr>
          <w:rFonts w:ascii="Times New Roman"/>
          <w:b w:val="false"/>
          <w:i w:val="false"/>
          <w:color w:val="1b1b1b"/>
          <w:sz w:val="24"/>
          <w:lang w:val="pl-PL"/>
        </w:rPr>
        <w:t>art. 5 pkt 3 lit. a</w:t>
      </w:r>
      <w:r>
        <w:rPr>
          <w:rFonts w:ascii="Times New Roman"/>
          <w:b w:val="false"/>
          <w:i w:val="false"/>
          <w:color w:val="000000"/>
          <w:sz w:val="24"/>
          <w:lang w:val="pl-PL"/>
        </w:rPr>
        <w:t xml:space="preserve"> tiret pierwsze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7</w:t>
      </w:r>
      <w:r>
        <w:rPr>
          <w:rFonts w:ascii="Times New Roman"/>
          <w:b w:val="false"/>
          <w:i w:val="false"/>
          <w:color w:val="000000"/>
          <w:sz w:val="24"/>
          <w:lang w:val="pl-PL"/>
        </w:rPr>
        <w:t xml:space="preserve"> Art. 6 ust. 4 pkt 6 dodany przez </w:t>
      </w:r>
      <w:r>
        <w:rPr>
          <w:rFonts w:ascii="Times New Roman"/>
          <w:b w:val="false"/>
          <w:i w:val="false"/>
          <w:color w:val="1b1b1b"/>
          <w:sz w:val="24"/>
          <w:lang w:val="pl-PL"/>
        </w:rPr>
        <w:t>art. 5 pkt 3 lit. a</w:t>
      </w:r>
      <w:r>
        <w:rPr>
          <w:rFonts w:ascii="Times New Roman"/>
          <w:b w:val="false"/>
          <w:i w:val="false"/>
          <w:color w:val="000000"/>
          <w:sz w:val="24"/>
          <w:lang w:val="pl-PL"/>
        </w:rPr>
        <w:t xml:space="preserve"> tiret drugie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8</w:t>
      </w:r>
      <w:r>
        <w:rPr>
          <w:rFonts w:ascii="Times New Roman"/>
          <w:b w:val="false"/>
          <w:i w:val="false"/>
          <w:color w:val="000000"/>
          <w:sz w:val="24"/>
          <w:lang w:val="pl-PL"/>
        </w:rPr>
        <w:t xml:space="preserve"> Art. 6 ust. 4 pkt 7 dodany przez </w:t>
      </w:r>
      <w:r>
        <w:rPr>
          <w:rFonts w:ascii="Times New Roman"/>
          <w:b w:val="false"/>
          <w:i w:val="false"/>
          <w:color w:val="1b1b1b"/>
          <w:sz w:val="24"/>
          <w:lang w:val="pl-PL"/>
        </w:rPr>
        <w:t>art. 5 pkt 3 lit. a</w:t>
      </w:r>
      <w:r>
        <w:rPr>
          <w:rFonts w:ascii="Times New Roman"/>
          <w:b w:val="false"/>
          <w:i w:val="false"/>
          <w:color w:val="000000"/>
          <w:sz w:val="24"/>
          <w:lang w:val="pl-PL"/>
        </w:rPr>
        <w:t xml:space="preserve"> tiret drugie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9</w:t>
      </w:r>
      <w:r>
        <w:rPr>
          <w:rFonts w:ascii="Times New Roman"/>
          <w:b w:val="false"/>
          <w:i w:val="false"/>
          <w:color w:val="000000"/>
          <w:sz w:val="24"/>
          <w:lang w:val="pl-PL"/>
        </w:rPr>
        <w:t xml:space="preserve"> Art. 6 ust. 4 pkt 8 dodany przez </w:t>
      </w:r>
      <w:r>
        <w:rPr>
          <w:rFonts w:ascii="Times New Roman"/>
          <w:b w:val="false"/>
          <w:i w:val="false"/>
          <w:color w:val="1b1b1b"/>
          <w:sz w:val="24"/>
          <w:lang w:val="pl-PL"/>
        </w:rPr>
        <w:t>art. 5 pkt 3 lit. a</w:t>
      </w:r>
      <w:r>
        <w:rPr>
          <w:rFonts w:ascii="Times New Roman"/>
          <w:b w:val="false"/>
          <w:i w:val="false"/>
          <w:color w:val="000000"/>
          <w:sz w:val="24"/>
          <w:lang w:val="pl-PL"/>
        </w:rPr>
        <w:t xml:space="preserve"> tiret drugie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10</w:t>
      </w:r>
      <w:r>
        <w:rPr>
          <w:rFonts w:ascii="Times New Roman"/>
          <w:b w:val="false"/>
          <w:i w:val="false"/>
          <w:color w:val="000000"/>
          <w:sz w:val="24"/>
          <w:lang w:val="pl-PL"/>
        </w:rPr>
        <w:t xml:space="preserve"> Art. 6 ust. 7 dodany przez </w:t>
      </w:r>
      <w:r>
        <w:rPr>
          <w:rFonts w:ascii="Times New Roman"/>
          <w:b w:val="false"/>
          <w:i w:val="false"/>
          <w:color w:val="1b1b1b"/>
          <w:sz w:val="24"/>
          <w:lang w:val="pl-PL"/>
        </w:rPr>
        <w:t>art. 5 pkt 3 lit. b</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11</w:t>
      </w:r>
      <w:r>
        <w:rPr>
          <w:rFonts w:ascii="Times New Roman"/>
          <w:b w:val="false"/>
          <w:i w:val="false"/>
          <w:color w:val="000000"/>
          <w:sz w:val="24"/>
          <w:lang w:val="pl-PL"/>
        </w:rPr>
        <w:t xml:space="preserve"> Art. 7 pkt 11a dodany przez </w:t>
      </w:r>
      <w:r>
        <w:rPr>
          <w:rFonts w:ascii="Times New Roman"/>
          <w:b w:val="false"/>
          <w:i w:val="false"/>
          <w:color w:val="1b1b1b"/>
          <w:sz w:val="24"/>
          <w:lang w:val="pl-PL"/>
        </w:rPr>
        <w:t>art. 5 pkt 4 lit. a</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12</w:t>
      </w:r>
      <w:r>
        <w:rPr>
          <w:rFonts w:ascii="Times New Roman"/>
          <w:b w:val="false"/>
          <w:i w:val="false"/>
          <w:color w:val="000000"/>
          <w:sz w:val="24"/>
          <w:lang w:val="pl-PL"/>
        </w:rPr>
        <w:t xml:space="preserve"> Art. 7 pkt 24 dodany przez </w:t>
      </w:r>
      <w:r>
        <w:rPr>
          <w:rFonts w:ascii="Times New Roman"/>
          <w:b w:val="false"/>
          <w:i w:val="false"/>
          <w:color w:val="1b1b1b"/>
          <w:sz w:val="24"/>
          <w:lang w:val="pl-PL"/>
        </w:rPr>
        <w:t>art. 5 pkt 4 lit. b</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13</w:t>
      </w:r>
      <w:r>
        <w:rPr>
          <w:rFonts w:ascii="Times New Roman"/>
          <w:b w:val="false"/>
          <w:i w:val="false"/>
          <w:color w:val="000000"/>
          <w:sz w:val="24"/>
          <w:lang w:val="pl-PL"/>
        </w:rPr>
        <w:t xml:space="preserve"> Art. 7 pkt 25 dodany przez </w:t>
      </w:r>
      <w:r>
        <w:rPr>
          <w:rFonts w:ascii="Times New Roman"/>
          <w:b w:val="false"/>
          <w:i w:val="false"/>
          <w:color w:val="1b1b1b"/>
          <w:sz w:val="24"/>
          <w:lang w:val="pl-PL"/>
        </w:rPr>
        <w:t>art. 5 pkt 4 lit. b</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14</w:t>
      </w:r>
      <w:r>
        <w:rPr>
          <w:rFonts w:ascii="Times New Roman"/>
          <w:b w:val="false"/>
          <w:i w:val="false"/>
          <w:color w:val="000000"/>
          <w:sz w:val="24"/>
          <w:lang w:val="pl-PL"/>
        </w:rPr>
        <w:t xml:space="preserve"> Art. 7 pkt 26 dodany przez </w:t>
      </w:r>
      <w:r>
        <w:rPr>
          <w:rFonts w:ascii="Times New Roman"/>
          <w:b w:val="false"/>
          <w:i w:val="false"/>
          <w:color w:val="1b1b1b"/>
          <w:sz w:val="24"/>
          <w:lang w:val="pl-PL"/>
        </w:rPr>
        <w:t>art. 5 pkt 4 lit. b</w:t>
      </w:r>
      <w:r>
        <w:rPr>
          <w:rFonts w:ascii="Times New Roman"/>
          <w:b w:val="false"/>
          <w:i w:val="false"/>
          <w:color w:val="000000"/>
          <w:sz w:val="24"/>
          <w:lang w:val="pl-PL"/>
        </w:rPr>
        <w:t xml:space="preserve"> ustawy z dnia 1 grudnia 2022 r. (Dz.U.2022.2581) zmieniającej nin. ustawę z dniem 1 stycznia 2023 r.</w:t>
      </w:r>
    </w:p>
    <w:p>
      <w:pPr>
        <w:spacing w:after="0"/>
        <w:ind w:left="0"/>
        <w:jc w:val="left"/>
        <w:textAlignment w:val="auto"/>
      </w:pPr>
      <w:r>
        <w:rPr>
          <w:rFonts w:ascii="Times New Roman"/>
          <w:b w:val="false"/>
          <w:i w:val="false"/>
          <w:color w:val="000000"/>
          <w:sz w:val="24"/>
          <w:vertAlign w:val="superscript"/>
          <w:lang w:val="pl-PL"/>
        </w:rPr>
        <w:t>15</w:t>
      </w:r>
      <w:r>
        <w:rPr>
          <w:rFonts w:ascii="Times New Roman"/>
          <w:b w:val="false"/>
          <w:i w:val="false"/>
          <w:color w:val="000000"/>
          <w:sz w:val="24"/>
          <w:lang w:val="pl-PL"/>
        </w:rPr>
        <w:t xml:space="preserve"> Art. 12 ust. 1 pkt 3a dodany przez </w:t>
      </w:r>
      <w:r>
        <w:rPr>
          <w:rFonts w:ascii="Times New Roman"/>
          <w:b w:val="false"/>
          <w:i w:val="false"/>
          <w:color w:val="1b1b1b"/>
          <w:sz w:val="24"/>
          <w:lang w:val="pl-PL"/>
        </w:rPr>
        <w:t>art. 5 pkt 5</w:t>
      </w:r>
      <w:r>
        <w:rPr>
          <w:rFonts w:ascii="Times New Roman"/>
          <w:b w:val="false"/>
          <w:i w:val="false"/>
          <w:color w:val="000000"/>
          <w:sz w:val="24"/>
          <w:lang w:val="pl-PL"/>
        </w:rPr>
        <w:t xml:space="preserve"> ustawy z dnia 1 grudnia 2022 r. (Dz.U.2022.2581) zmieniającej nin. ustawę z dniem 1 stycznia 2023 r.</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