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jdkbuild Java 11.0.13 on Linux -->
    <w:p>
      <w:pPr>
        <w:pStyle w:val="TitleStyle"/>
      </w:pPr>
      <w:r>
        <w:t>Świadczenie usług drogą elektroniczną.</w:t>
      </w:r>
    </w:p>
    <w:p>
      <w:pPr>
        <w:pStyle w:val="NormalStyle"/>
      </w:pPr>
      <w:r>
        <w:t>Dz.U.2020.344 t.j. z dnia 2020.03.03</w:t>
      </w:r>
    </w:p>
    <w:p>
      <w:pPr>
        <w:pStyle w:val="NormalStyle"/>
      </w:pPr>
      <w:r>
        <w:t>Status: Akt obowiązujący </w:t>
      </w:r>
    </w:p>
    <w:p>
      <w:pPr>
        <w:pStyle w:val="NormalStyle"/>
      </w:pPr>
      <w:r>
        <w:t>Wersja od: 3 marca 2020r. </w:t>
      </w:r>
    </w:p>
    <w:p>
      <w:pPr>
        <w:pStyle w:val="BoldStyle"/>
      </w:pPr>
      <w:r>
        <w:t>tekst jednolity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Wejście w życie:</w:t>
      </w:r>
    </w:p>
    <w:p>
      <w:pPr>
        <w:spacing w:after="15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10 marca 2003 r.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,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1 maja 2004 r.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 zobacz: </w:t>
      </w:r>
    </w:p>
    <w:p>
      <w:pPr>
        <w:numPr>
          <w:ilvl w:val="1"/>
          <w:numId w:val="1"/>
        </w:num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art. 30 </w:t>
      </w:r>
    </w:p>
    <w:p>
      <w:pPr>
        <w:spacing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Art. 30.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[Wejście w życie]</w:t>
      </w:r>
    </w:p>
    <w:p>
      <w:pPr>
        <w:spacing w:before="25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Ustawa wchodzi w życie po upływie 6 miesięcy od dnia ogłoszenia, z wyjątkiem art. 5 ust. 5, który stosuje się od dnia uzyskania przez Rzeczpospolitą Polską członkostwa w Unii Europejskiej.</w:t>
      </w:r>
    </w:p>
    <w:p>
      <w:pPr>
        <w:numPr>
          <w:ilvl w:val="0"/>
          <w:numId w:val="1"/>
        </w:numPr>
        <w:spacing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before="6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USTAWA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 dnia 18 lipca 2002 r.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o świadczeniu usług drogą elektroniczną </w:t>
      </w:r>
      <w:r>
        <w:rPr>
          <w:rFonts w:ascii="Times New Roman"/>
          <w:b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</w:t>
      </w:r>
    </w:p>
    <w:p>
      <w:pPr>
        <w:spacing w:before="89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Rozdział 1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Przepisy ogólne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[Zakres regulacji]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Ustawa określa: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obowiązki usługodawcy związane ze świadczeniem usług drogą elektroniczną;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zasady wyłączania odpowiedzialności usługodawcy z tytułu świadczenia usług drogą elektroniczną;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zasady ochrony danych osobowych osób fizycznych korzystających z usług świadczonych drogą elektroniczną.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[Definicje]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Określenia użyte w ustawie oznaczają: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adres elektroniczny - oznaczenie systemu teleinformatycznego umożliwiające porozumiewanie się za pomocą środków komunikacji elektronicznej, w szczególności poczty elektronicznej;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informacja handlowa - każdą informację przeznaczoną bezpośrednio lub pośrednio do promowania towarów, usług lub wizerunku przedsiębiorcy lub osoby wykonującej zawód, której prawo do wykonywania zawodu jest uzależnione od spełnienia wymagań określonych w odrębnych ustawach, z wyłączeniem informacji umożliwiającej porozumiewanie się za pomocą środków komunikacji elektronicznej z określoną osobą oraz informacji o towarach i usługach niesłużącej osiągnięciu efektu handlowego pożądanego przez podmiot, który zleca jej rozpowszechnianie, w szczególności bez wynagrodzenia lub innych korzyści od producentów, sprzedawców i świadczących usługi;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system teleinformatyczny - zespół współpracujących ze sobą urządzeń informatycznych i oprogramowania, zapewniający przetwarzanie i przechowywanie, a także wysyłanie i odbieranie danych poprzez sieci telekomunikacyjne za pomocą właściwego dla danego rodzaju sieci telekomunikacyjnego urządzenia końcowego w rozumieniu ustawy z dnia 16 lipca 2004 r. - Prawo telekomunikacyjne (Dz. U. z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2018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2019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r. poz.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1954 i 2245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2460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);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świadczenie usługi drogą elektroniczną - wykonanie usługi świadczonej bez jednoczesnej obecności stron (na odległość), poprzez przekaz danych na indywidualne żądanie usługobiorcy, przesyłanej i otrzymywanej za pomocą urządzeń do elektronicznego przetwarzania, włącznie z kompresją cyfrową, i przechowywania danych, która jest w całości nadawana, odbierana lub transmitowana za pomocą sieci telekomunikacyjnej w rozumieniu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ustawy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z dnia 16 lipca 2004 r. - Prawo telekomunikacyjne;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środki komunikacji elektronicznej - rozwiązania techniczne, w tym urządzenia teleinformatyczne i współpracujące z nimi narzędzia programowe, umożliwiające indywidualne porozumiewanie się na odległość przy wykorzystaniu transmisji danych między systemami teleinformatycznymi, a w szczególności pocztę elektroniczną;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usługodawca - osobę fizyczną, osobę prawną albo jednostkę organizacyjną nieposiadającą osobowości prawnej, która prowadząc, chociażby ubocznie, działalność zarobkową lub zawodową świadczy usługi drogą elektroniczną;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usługobiorca - osobę fizyczną, osobę prawną albo jednostkę organizacyjną nieposiadającą osobowości prawnej, która korzysta z usługi świadczonej drogą elektroniczną;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8)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siedziba - siedziba przedsiębiorcy lub siedziba oddziału przedsiębiorcy zagranicznego wykonującego działalność gospodarczą na terytorium Rzeczypospolitej Polskiej.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3.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[Wyłączenia stosowania ustawy]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Przepisów ustawy nie stosuje się do: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rozpowszechniania lub rozprowadzania programów radiowych lub programów telewizyjnych i związanych z nimi przekazów tekstowych w rozumieniu ustawy z dnia 29 grudnia 1992 r. o radiofonii i telewizji (Dz. U. z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2017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2019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r. poz.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1414 i 2111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361,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oraz z 2018 r. poz. 650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643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,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915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1495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i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1717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1655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), z wyłączeniem programów rozpowszechnianych wyłącznie w systemie teleinformatycznym;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używania poczty elektronicznej lub innego równorzędnego środka komunikacji elektronicznej między osobami fizycznymi, w celach osobistych niezwiązanych z prowadzoną przez te osoby, chociażby ubocznie, działalnością zarobkową lub wykonywanym przez nie zawodem;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świadczenia przez przedsiębiorcę telekomunikacyjnego usług telekomunikacyjnych, z wyłączeniem art. 12-15;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(uchylony);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(uchylony);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świadczenia usług drogą elektroniczną, jeżeli odbywa się ono w ramach struktury organizacyjnej usługodawcy, przy czym usługa świadczona drogą elektroniczną służy wyłącznie do kierowania pracą lub procesami gospodarczymi tego podmiotu.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3a.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[Zasada państwa pochodzenia]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Świadczenie usług drogą elektroniczną podlega prawu państwa członkowskiego Unii Europejskiej oraz Europejskiego Porozumienia o Wolnym Handlu (EFTA) - strony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umowy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o Europejskim Obszarze Gospodarczym, na którego terytorium usługodawca ma miejsce zamieszkania lub siedzibę.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Przepisu ust. 1 nie stosuje się do: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ochrony praw autorskich i praw pokrewnych w rozumieniu ustawy z dnia 4 lutego 1994 r. o prawie autorskim i prawach pokrewnych (Dz. U. z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2018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2019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r. poz.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1191, 1293, 1669 i 2245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1231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), baz danych w rozumieniu ustawy z dnia 27 lipca 2001 r. o ochronie baz danych (Dz. U.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 xml:space="preserve">poz. 1402,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2004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2019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r. poz.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959 oraz z 2007 r. poz. 662 i 1238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2134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) oraz własności przemysłowej w rozumieniu ustawy z dnia 30 czerwca 2000 r. - Prawo własności przemysłowej (Dz. U. z 2017 r. poz. 776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, z 2018 r. poz. 2302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oraz z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2018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2019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r. poz.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2302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501 i 2309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);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(uchylony);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wykonywania na terytorium Rzeczypospolitej Polskiej działalności ubezpieczeniowej przez zagraniczny zakład ubezpieczeń, o którym mowa w art. 204 ust. 1 ustawy z dnia 11 września 2015 r. o działalności ubezpieczeniowej i reasekuracyjnej (Dz. U. z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2018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2019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r. poz.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999, 1000, 1669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381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,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2215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730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i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2243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2217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);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udostępniania na terytorium Rzeczypospolitej Polskiej informacji reklamowych przez fundusz zagraniczny, o którym mowa w art. 2 pkt 9 ustawy z dnia 27 maja 2004 r. o funduszach inwestycyjnych i zarządzaniu alternatywnymi funduszami inwestycyjnymi (Dz. U. z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2018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2020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r. poz.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1355, 2215, 2243 i 2244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95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), oraz zarządzającego z UE, o którym mowa w art. 2 pkt 10c tej ustawy;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umów z udziałem konsumentów - w zakresie, w jakim ochronę praw konsumentów zapewniają przepisy odrębne;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warunków dopuszczalności przesyłania niezamówionych informacji handlowych za pośrednictwem poczty elektronicznej.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Przepis ust. 1 nie skutkuje również: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wyłączeniem swobody stron w zakresie wyboru prawa właściwego dla zobowiązań umownych;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wyłączeniem stosowania przepisów o formie czynności prawnych ustanawiających lub przenoszących prawa rzeczowe na nieruchomościach, które obowiązują w państwie, w którym znajduje się nieruchomość.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Art. 3a</w:t>
      </w:r>
      <w:r>
        <w:rPr>
          <w:rFonts w:ascii="Times New Roman"/>
          <w:b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[Świadczenie usług drogą elektroniczną w zakresie gier hazardowych]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Świadczenie usług drogą elektroniczną w zakresie gier hazardowych podlega prawu polskiemu, w przypadku gdy gra hazardowa jest urządzana na terytorium Rzeczypospolitej Polskiej lub usługobiorca uczestniczy na terytorium Rzeczypospolitej Polskiej w grze hazardowej, lub usługa jest kierowana do usługobiorców na terytorium Rzeczypospolitej Polskiej, w szczególności dostępne jest korzystanie z niej w języku polskim lub jest reklamowana na terytorium Rzeczypospolitej Polskiej.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3b.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[Ograniczenia swobody świadczenia usług drogą elektroniczną]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Na zasadach określonych przez przepisy odrębne swoboda świadczenia usług drogą elektroniczną może zostać ograniczona, jeżeli jest to niezbędne ze względu na ochronę zdrowia, obronność, bezpieczeństwo państwa lub bezpieczeństwo publiczne.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3c.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[Zadania punktów kontaktowych]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Zadania polegające na współpracy z państwami członkowskimi Unii Europejskiej oraz Europejskiego Porozumienia o Wolnym Handlu (EFTA) - stronami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umowy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o Europejskim Obszarze Gospodarczym w zakresie świadczenia usług drogą elektroniczną wykonują jednostki organizacyjne - punkty kontaktowe dla administracji.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Zadania polegające na: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umożliwieniu usługodawcom i usługobiorcom otrzymywania informacji ogólnych na temat ich praw i obowiązków, jak również na temat procedur reklamacyjnych oraz naprawiania szkody w przypadku sporów, łącznie z informacjami na temat praktycznych aspektów związanych z wykorzystaniem tych procedur,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umożliwieniu usługodawcom i usługobiorcom uzyskiwania danych szczegółowych dotyczących władz, stowarzyszeń lub organizacji, od których mogą oni otrzymać dalsze informacje lub praktyczną pomoc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- wykonują jednostki organizacyjne - punkty kontaktowe dla usługodawców i usługobiorców.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3d.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[Tworzenie punktów kontaktowych]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Punkty kontaktowe, o których mowa w art. 3c ust. 1 i 2, tworzy, w drodze rozporządzenia, minister właściwy do spraw gospodarki w porozumieniu z ministrem właściwym do spraw informatyzacji.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Rozporządzenie, o którym mowa w ust. 1, określa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liczbę i rodzaj punktów kontaktowych oraz ich szczegółowy zakres zadań,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warunki techniczne i organizacyjne punktu kontaktowego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- uwzględniając potrzebę zapewnienia właściwej realizacji zadań punktów kontaktowych.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4.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[Zgoda usługobiorcy]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Jeżeli ustawa wymaga uzyskania zgody usługobiorcy, stosuje się przepisy o ochronie danych osobowych.</w:t>
      </w:r>
    </w:p>
    <w:p>
      <w:pPr>
        <w:spacing w:before="89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Rozdział 2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Obowiązki usługodawcy świadczącego usługi drogą elektroniczną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5.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[Ogólne obowiązki informacyjne]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Usługodawca podaje, w sposób wyraźny, jednoznaczny i bezpośrednio dostępny poprzez system teleinformatyczny, którym posługuje się usługobiorca, informacje podstawowe określone w ust. 2-5.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Usługodawca podaje: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adresy elektroniczne;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imię, nazwisko, miejsce zamieszkania i adres albo nazwę lub firmę oraz siedzibę i adres.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Jeżeli usługodawcą jest przedsiębiorca, podaje on również informacje dotyczące właściwego zezwolenia i organu zezwalającego, w razie gdy świadczenie usługi wymaga, na podstawie odrębnych przepisów, takiego zezwolenia.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Przepis ust. 3 nie narusza obowiązku określonego w art. 20 ust. 3 ustawy z dnia 6 marca 2018 r. - Prawo przedsiębiorców (Dz. U.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poz.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z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646,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2019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1479,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r.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1629,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poz.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1633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1292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i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2212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1495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) w zakresie podawania w ofercie danych dotyczących numeru identyfikacji podatkowej (NIP).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Jeżeli usługodawcą jest osoba fizyczna, której prawo do wykonywania zawodu jest uzależnione od spełnienia określonych w odrębnych ustawach wymagań, podaje również: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ustanowienia pełnomocnika, jego imię, nazwisko, miejsce zamieszkania i adres albo jego nazwę lub firmę oraz siedzibę i adres;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 zawodowy, do którego należy;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tytuł zawodowy, którego używa, oraz państwo, w którym został on przyznany;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numer w rejestrze publicznym, do którego jest wpisany wraz ze wskazaniem nazwy rejestru i organu prowadzącego rejestr;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informację o istnieniu właściwych dla danego zawodu zasad etyki zawodowej oraz o sposobie dostępu do tych zasad.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6.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[Szczególne obowiązki informacyjne]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Usługodawca jest obowiązany zapewnić usługobiorcy dostęp do aktualnej informacji o: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szczególnych zagrożeniach związanych z korzystaniem z usługi świadczonej drogą elektroniczną;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funkcji i celu oprogramowania lub danych niebędących składnikiem treści usługi, wprowadzanych przez usługodawcę do systemu teleinformatycznego, którym posługuje się usługobiorca.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7.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[Obowiązki usługodawcy w zakresie poufności i bezpieczeństwa]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Usługodawca zapewnia działanie systemu teleinformatycznego, którym się posługuje, umożliwiając nieodpłatnie usługobiorcy: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razie, gdy wymaga tego właściwość usługi: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korzystanie przez usługobiorcę z usługi świadczonej drogą elektroniczną, w sposób uniemożliwiający dostęp osób nieuprawnionych do treści przekazu składającego się na tę usługę, w szczególności przy wykorzystaniu technik kryptograficznych odpowiednich dla właściwości świadczonej usługi,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jednoznaczną identyfikację stron usługi świadczonej drogą elektroniczną oraz potwierdzenie faktu złożenia oświadczeń woli i ich treści, niezbędnych do zawarcia drogą elektroniczną umowy o świadczenie tej usługi, w szczególności przy wykorzystaniu kwalifikowanego podpisu elektronicznego;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zakończenie, w każdej chwili, korzystania z usługi świadczonej drogą elektroniczną.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8.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[Regulamin świadczenia usług drogą elektroniczną]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Usługodawca: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określa regulamin świadczenia usług drogą elektroniczną, zwany dalej "regulaminem";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nieodpłatnie udostępnia usługobiorcy regulamin przed zawarciem umowy o świadczenie takich usług, a także - na jego żądanie - w taki sposób, który umożliwia pozyskanie, odtwarzanie i utrwalanie treści regulaminu za pomocą systemu teleinformatycznego, którym posługuje się usługobiorca.</w:t>
      </w:r>
    </w:p>
    <w:p>
      <w:pPr>
        <w:spacing w:after="0"/>
        <w:ind w:left="0"/>
        <w:jc w:val="left"/>
        <w:textAlignment w:val="auto"/>
      </w:pP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Usługobiorca nie jest związany tymi postanowieniami regulaminu, które nie zostały mu udostępnione w sposób, o którym mowa w ust. 1 pkt 2.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Regulamin określa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rodzaje i zakres usług świadczonych drogą elektroniczną;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warunki świadczenia usług drogą elektroniczną, w tym: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wymagania techniczne niezbędne do współpracy z systemem teleinformatycznym, którym posługuje się usługodawca,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zakaz dostarczania przez usługobiorcę treści o charakterze bezprawnym;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warunki zawierania i rozwiązywania umów o świadczenie usług drogą elektroniczną;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tryb postępowania reklamacyjnego.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Usługodawca świadczy usługi drogą elektroniczną zgodnie z regulaminem.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9.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[Informacja handlowa]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Informacja handlowa jest wyraźnie wyodrębniana i oznaczana w sposób niebudzący wątpliwości, że jest to informacja handlowa.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Informacja handlowa zawiera: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oznaczenie podmiotu, na którego zlecenie jest ona rozpowszechniana, oraz jego adresy elektroniczne;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wyraźny opis form działalności promocyjnej, w szczególności obniżek cen, nieodpłatnych świadczeń pieniężnych lub rzeczowych i innych korzyści związanych z promowanym towarem, usługą lub wizerunkiem, a także jednoznaczne określenie warunków niezbędnych do skorzystania z tych korzyści, o ile są one składnikiem oferty;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wszelkie informacje, które mogą mieć wpływ na określenie zakresu odpowiedzialności stron, w szczególności ostrzeżenia i zastrzeżenia.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Przepisy ust. 1 i 2 nie naruszają przepisów ustawy: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 dnia 16 kwietnia 1993 r. o zwalczaniu nieuczciwej konkurencji (Dz. U. z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2018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2019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r. poz.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419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1010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i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1637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1649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) oraz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 dnia 19 listopada 2009 r. o grach hazardowych (Dz. U. z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2018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2019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r. poz.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165, 650, 723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847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i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1629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1495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).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10.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[Niezamówiona informacja handlowa]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Zakazane jest przesyłanie niezamówionej informacji handlowej skierowanej do oznaczonego odbiorcy będącego osobą fizyczną za pomocą środków komunikacji elektronicznej, w szczególności poczty elektronicznej.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Informację handlową uważa się za zamówioną, jeżeli odbiorca wyraził zgodę na otrzymywanie takiej informacji, w szczególności udostępnił w tym celu identyfikujący go adres elektroniczny.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Działanie, o którym mowa w ust. 1, stanowi czyn nieuczciwej konkurencji w rozumieniu przepisów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ustawy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, o której mowa w art. 9 ust. 3 pkt 1.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11.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[Odesłanie do innych przepisów]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W sprawach nieuregulowanych w ustawie do świadczenia usług drogą elektroniczną, w szczególności do składania oświadczeń woli w postaci elektronicznej, stosuje się przepisy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Kodeksu cywilnego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oraz innych ustaw.</w:t>
      </w:r>
    </w:p>
    <w:p>
      <w:pPr>
        <w:spacing w:before="89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Rozdział 3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Wyłączenie odpowiedzialności usługodawcy z tytułu świadczenia usług drogą elektroniczną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12.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[Wyłączenie odpowiedzialności usługodawców świadczących usługi mere conduit]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Usługodawca, który świadczy usługi drogą elektroniczną obejmujące transmisję w sieci telekomunikacyjnej danych przekazywanych przez odbiorcę usługi lub zapewnienie dostępu do sieci telekomunikacyjnej w rozumieniu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ustawy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z dnia 16 lipca 2004 r. - Prawo telekomunikacyjne, nie ponosi odpowiedzialności za treść tych danych, jeżeli: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nie jest inicjatorem przekazu danych;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nie wybiera odbiorcy przekazu danych;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nie wybiera oraz nie modyfikuje informacji zawartych w przekazie.</w:t>
      </w:r>
    </w:p>
    <w:p>
      <w:pPr>
        <w:spacing w:after="0"/>
        <w:ind w:left="0"/>
        <w:jc w:val="left"/>
        <w:textAlignment w:val="auto"/>
      </w:pP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Wyłączenie odpowiedzialności, o którym mowa w ust. 1, obejmuje także automatyczne i krótkotrwałe pośrednie przechowywanie transmitowanych danych, jeżeli działanie to ma wyłącznie na celu przeprowadzenie transmisji, a dane nie są przechowywane dłużej, niż jest to w zwykłych warunkach konieczne dla zrealizowania transmisji.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13.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[Wyłączenie odpowiedzialności usługodawców świadczących usługi cachingu]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Nie ponosi odpowiedzialności za przechowywane dane ten, kto transmitując dane oraz zapewniając automatyczne i krótkotrwałe pośrednie przechowywanie tych danych w celu przyspieszenia ponownego dostępu do nich na żądanie innego podmiotu: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nie modyfikuje danych;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posługuje się uznanymi i stosowanymi zwykle w tego rodzaju działalności technikami informatycznymi określającymi parametry techniczne dostępu do danych i ich aktualizowania oraz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nie zakłóca posługiwania się technikami informatycznymi uznanymi i stosowanymi zwykle w tego rodzaju działalności w zakresie zbierania informacji o korzystaniu ze zgromadzonych danych.</w:t>
      </w:r>
    </w:p>
    <w:p>
      <w:pPr>
        <w:spacing w:after="0"/>
        <w:ind w:left="0"/>
        <w:jc w:val="left"/>
        <w:textAlignment w:val="auto"/>
      </w:pP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Nie ponosi odpowiedzialności za przechowywane dane ten, kto przy zachowaniu warunków, o których mowa w ust. 1, niezwłocznie usunie dane albo uniemożliwi dostęp do przechowywanych danych, gdy uzyska wiadomość, że dane zostały usunięte z początkowego źródła transmisji lub dostęp do nich został uniemożliwiony, albo gdy sąd lub inny właściwy organ nakazał usunięcie danych lub uniemożliwienie do nich dostępu.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14.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[Wyłączenie odpowiedzialności usługodawców świadczących usługi hostingu]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Nie ponosi odpowiedzialności za przechowywane dane ten, kto udostępniając zasoby systemu teleinformatycznego w celu przechowywania danych przez usługobiorcę nie wie o bezprawnym charakterze danych lub związanej z nimi działalności, a w razie otrzymania urzędowego zawiadomienia lub uzyskania wiarygodnej wiadomości o bezprawnym charakterze danych lub związanej z nimi działalności niezwłocznie uniemożliwi dostęp do tych danych.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Usługodawca, który otrzymał urzędowe zawiadomienie o bezprawnym charakterze przechowywanych danych dostarczonych przez usługobiorcę i uniemożliwił dostęp do tych danych, nie ponosi odpowiedzialności względem tego usługobiorcy za szkodę powstałą w wyniku uniemożliwienia dostępu do tych danych.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Usługodawca, który uzyskał wiarygodną wiadomość o bezprawnym charakterze przechowywanych danych dostarczonych przez usługobiorcę i uniemożliwił dostęp do tych danych, nie odpowiada względem tego usługobiorcy za szkodę powstałą w wyniku uniemożliwienia dostępu do tych danych, jeżeli niezwłocznie zawiadomił usługobiorcę o zamiarze uniemożliwienia do nich dostępu.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Przepisów ust. 1-3 nie stosuje się, jeżeli usługodawca przejął kontrolę nad usługobiorcą w rozumieniu przepisów o ochronie konkurencji i konsumentów.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15.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[Brak obowiązku monitorowania danych]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Podmiot, który świadczy usługi określone w art. 12-14, nie jest obowiązany do sprawdzania przekazywanych, przechowywanych lub udostępnianych przez niego danych, o których mowa w art. 12-14.</w:t>
      </w:r>
    </w:p>
    <w:p>
      <w:pPr>
        <w:spacing w:before="89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Rozdział 4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Zasady ochrony danych osobowych w związku ze świadczeniem usług drogą elektroniczną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16.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(uchylony).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17.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(uchylony).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18.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[Przesłanki legalności przetwarzania danych]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Usługodawca może przetwarzać następujące dane osobowe usługobiorcy niezbędne do nawiązania, ukształtowania treści, zmiany lub rozwiązania stosunku prawnego między nimi: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nazwisko i imiona usługobiorcy;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numer ewidencyjny PESEL lub - gdy ten numer nie został nadany - numer paszportu, dowodu osobistego lub innego dokumentu potwierdzającego tożsamość;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adres zameldowania na pobyt stały;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adres do korespondencji, jeżeli jest inny niż adres, o którym mowa w pkt 3;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dane służące do weryfikacji podpisu elektronicznego usługobiorcy;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adresy elektroniczne usługobiorcy.</w:t>
      </w:r>
    </w:p>
    <w:p>
      <w:pPr>
        <w:spacing w:after="0"/>
        <w:ind w:left="0"/>
        <w:jc w:val="left"/>
        <w:textAlignment w:val="auto"/>
      </w:pP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realizacji umów lub dokonania innej czynności prawnej z usługobiorcą, usługodawca może przetwarzać inne dane niezbędne ze względu na właściwość świadczonej usługi lub sposób jej rozliczenia.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Usługodawca wyróżnia i oznacza te spośród danych, o których mowa w ust. 2, jako dane, których podanie jest niezbędne do świadczenia usługi drogą elektroniczną.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Usługodawca może przetwarzać, za zgodą usługobiorcy i dla celów reklamy, badania rynku oraz zachowań i preferencji usługobiorców z przeznaczeniem wyników tych badań na potrzeby polepszenia jakości usług świadczonych przez usługodawcę, inne dane dotyczące usługobiorcy, które nie są niezbędne do świadczenia usługi drogą elektroniczną.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Usługodawca może przetwarzać następujące dane charakteryzujące sposób korzystania przez usługobiorcę z usługi świadczonej drogą elektroniczną (dane eksploatacyjne):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oznaczenia identyfikujące usługobiorcę nadawane na podstawie danych, o których mowa w ust. 1;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oznaczenia identyfikujące zakończenie sieci telekomunikacyjnej lub system teleinformatyczny, z którego korzystał usługobiorca;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informacje o rozpoczęciu, zakończeniu oraz zakresie każdorazowego korzystania z usługi świadczonej drogą elektroniczną;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informacje o skorzystaniu przez usługobiorcę z usług świadczonych drogą elektroniczną.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Usługodawca nieodpłatnie udostępnia dane, o których mowa w ust. 1-5, organom państwa uprawnionym na podstawie odrębnych przepisów na potrzeby prowadzonych przez nie postępowań.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19.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[Ograniczenia w danych podawanych przy rozliczeniu usługi świadczonej drogą elektroniczną]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(uchylony).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(uchylony).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Rozliczenie usługi świadczonej drogą elektroniczną przedstawione usługobiorcy nie może ujawniać rodzaju, czasu trwania, częstotliwości i innych parametrów technicznych poszczególnych usług, z których skorzystał usługobiorca, chyba że zażądał on szczegółowych informacji w tym zakresie.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(uchylony).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(uchylony).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20.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(uchylony).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21.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(uchylony).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22.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(uchylony).</w:t>
      </w:r>
    </w:p>
    <w:p>
      <w:pPr>
        <w:spacing w:before="89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Rozdział 5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Przepisy karne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23.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[Naruszenie ogólnych obowiązków informacyjnych]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Kto wbrew obowiązkom określonym w art. 5 nie podaje danych, o których mowa w art. 5 ust. 2, 3 lub 5, albo podaje dane nieprawdziwe lub niepełne, podlega karze grzywny.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24.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[Odpowiedzialność za przesyłanie niezamówionej informacji handlowej]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Kto przesyła za pomocą środków komunikacji elektronicznej niezamówione informacje handlowe, podlega karze grzywny.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Ściganie wykroczenia, o którym mowa w ust. 1, następuje na wniosek pokrzywdzonego.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25.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[Stosowanie przepisów o postępowaniu w sprawach o wykroczenia 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Orzekanie w sprawach o czyny określone w art. 23 i 24 następuje w trybie przepisów o postępowaniu w sprawach o wykroczenia.</w:t>
      </w:r>
    </w:p>
    <w:p>
      <w:pPr>
        <w:spacing w:before="89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Rozdział 6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Zmiany w przepisach obowiązujących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26.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ustawie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z dnia 7 października 1999 r. o języku polskim (Dz. U. Nr 90, poz. 999 i z 2000 r. Nr 29, poz. 358) 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8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w ust. 3 kropkę zastępuje się przecinkiem i dodaje wyrazy "chyba że jest to umowa o świadczenie usług drogą elektroniczną, określonych w ustawie z dnia 18 lipca 2002 r. o świadczeniu usług drogą elektroniczną (Dz. U. 144, poz. 1204), zawarta z usługodawcą niebędącym podmiotem polskim."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27.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ustawie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z dnia 2 marca 2000 r. o ochronie niektórych praw konsumentów oraz o odpowiedzialności za szkodę wyrządzoną przez produkt niebezpieczny (Dz. U. Nr 22, poz. 271) 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6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: (zmiany pominięte).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28.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ustawie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z dnia 16 listopada 2000 r. o przeciwdziałaniu wprowadzaniu do obrotu finansowego wartości majątkowych pochodzących z nielegalnych lub nieujawnionych źródeł (Dz. U. Nr 116, poz. 1216, z 2001 r. Nr 63, poz. 641 oraz z 2002 r. Nr 25, poz. 253, Nr 32, poz. 299, Nr 41, poz. 365, Nr 74, poz. 676, Nr 89, poz. 804 i Nr 141, poz. 1178) 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9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ust. 1 otrzymuje brzmienie: (zmiany pominięte).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29.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ustawie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z dnia 5 lipca 2001 r. o cenach (Dz. U. Nr 97, poz. 1050) 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10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ust. 1 otrzymuje brzmienie: (zmiany pominięte).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30.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[Wejście w życie]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Ustawa wchodzi w życie po upływie 6 miesięcy od dnia ogłoszenia, z wyjątkiem art. 5 ust. 5, który stosuje się od dnia uzyskania przez Rzeczpospolitą Polską członkostwa w Unii Europejskiej.</w:t>
      </w:r>
    </w:p>
    <w:p>
      <w:pPr>
        <w:spacing w:before="250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Niniejsza ustawa dokonuje w zakresie swojej regulacji wdrożenia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dyrektywy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2000/31/WE z dnia 8 czerwca 2000 r. w sprawie niektórych aspektów prawnych usług społeczeństwa informacyjnego, w szczególności handlu elektronicznego na rynku wewnętrznym (dyrektywa o handlu elektronicznym) (Dz. Urz. WE L 178 z 17.07.2000).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Dane dotyczące ogłoszenia aktów prawa Unii Europejskiej, zamieszczone w niniejszej ustawie - z dniem uzyskania przez Rzeczpospolitą Polską członkostwa w Unii Europejskiej - dotyczą ogłoszenia tych aktów w Dzienniku Urzędowym Unii Europejskiej - wydanie specjalne.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1">
    <w:multiLevelType w:val="multilevel"/>
    <w:lvl w:ilvl="0">
      <w:start w:val="1"/>
      <w:numFmt w:val="none"/>
      <w:lvlText w:val=""/>
      <w:lvlJc w:val="left"/>
      <w:pPr>
        <w:ind w:left="0"/>
      </w:pPr>
    </w:lvl>
    <w:lvl w:ilvl="1">
      <w:start w:val="1"/>
      <w:numFmt w:val="none"/>
      <w:lvlText w:val=""/>
      <w:lvlJc w:val="left"/>
      <w:pPr>
        <w:ind w:left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24"/>
        <w:szCs w:val="22"/>
        <w:lang w:val="pl-PL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rFonts w:ascii="Times New Roman" w:hAnsi="Times New Roman" w:eastAsia="Times New Roman" w:cs="Times New Roman"/>
      <w:sz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